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3E" w:rsidRDefault="00055D3E" w:rsidP="00055D3E">
      <w:pPr>
        <w:adjustRightInd w:val="0"/>
        <w:snapToGrid w:val="0"/>
        <w:spacing w:line="324" w:lineRule="auto"/>
        <w:jc w:val="center"/>
        <w:rPr>
          <w:rFonts w:ascii="仿宋" w:eastAsia="仿宋" w:hAnsi="仿宋"/>
          <w:b/>
          <w:sz w:val="32"/>
          <w:szCs w:val="32"/>
        </w:rPr>
      </w:pPr>
      <w:r>
        <w:rPr>
          <w:rFonts w:ascii="仿宋" w:eastAsia="仿宋" w:hAnsi="仿宋" w:hint="eastAsia"/>
          <w:b/>
          <w:sz w:val="32"/>
          <w:szCs w:val="32"/>
        </w:rPr>
        <w:t>中心职工食堂</w:t>
      </w:r>
      <w:r w:rsidR="00AD2C0D">
        <w:rPr>
          <w:rFonts w:ascii="仿宋" w:eastAsia="仿宋" w:hAnsi="仿宋" w:hint="eastAsia"/>
          <w:b/>
          <w:sz w:val="32"/>
          <w:szCs w:val="32"/>
        </w:rPr>
        <w:t>委托</w:t>
      </w:r>
      <w:r>
        <w:rPr>
          <w:rFonts w:ascii="仿宋" w:eastAsia="仿宋" w:hAnsi="仿宋" w:hint="eastAsia"/>
          <w:b/>
          <w:sz w:val="32"/>
          <w:szCs w:val="32"/>
        </w:rPr>
        <w:t>经营</w:t>
      </w:r>
      <w:r w:rsidR="00AD2C0D">
        <w:rPr>
          <w:rFonts w:ascii="仿宋" w:eastAsia="仿宋" w:hAnsi="仿宋" w:hint="eastAsia"/>
          <w:b/>
          <w:sz w:val="32"/>
          <w:szCs w:val="32"/>
        </w:rPr>
        <w:t>服务比选</w:t>
      </w:r>
      <w:r>
        <w:rPr>
          <w:rFonts w:ascii="仿宋" w:eastAsia="仿宋" w:hAnsi="仿宋" w:hint="eastAsia"/>
          <w:b/>
          <w:sz w:val="32"/>
          <w:szCs w:val="32"/>
        </w:rPr>
        <w:t>综合评分表</w:t>
      </w:r>
    </w:p>
    <w:p w:rsidR="00055D3E" w:rsidRDefault="00AD2C0D" w:rsidP="00055D3E">
      <w:pPr>
        <w:adjustRightInd w:val="0"/>
        <w:snapToGrid w:val="0"/>
        <w:spacing w:line="324" w:lineRule="auto"/>
        <w:jc w:val="left"/>
        <w:rPr>
          <w:rFonts w:ascii="仿宋" w:eastAsia="仿宋" w:hAnsi="仿宋"/>
          <w:b/>
          <w:sz w:val="28"/>
          <w:szCs w:val="28"/>
        </w:rPr>
      </w:pPr>
      <w:r>
        <w:rPr>
          <w:rFonts w:ascii="仿宋" w:eastAsia="仿宋" w:hAnsi="仿宋" w:hint="eastAsia"/>
          <w:b/>
          <w:sz w:val="28"/>
          <w:szCs w:val="28"/>
        </w:rPr>
        <w:t>比选</w:t>
      </w:r>
      <w:r w:rsidR="00055D3E">
        <w:rPr>
          <w:rFonts w:ascii="仿宋" w:eastAsia="仿宋" w:hAnsi="仿宋" w:hint="eastAsia"/>
          <w:b/>
          <w:sz w:val="28"/>
          <w:szCs w:val="28"/>
        </w:rPr>
        <w:t>人编号：                                                                 得分：</w:t>
      </w:r>
    </w:p>
    <w:tbl>
      <w:tblPr>
        <w:tblW w:w="14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1033"/>
        <w:gridCol w:w="3644"/>
        <w:gridCol w:w="681"/>
        <w:gridCol w:w="2126"/>
        <w:gridCol w:w="4111"/>
        <w:gridCol w:w="856"/>
        <w:gridCol w:w="828"/>
      </w:tblGrid>
      <w:tr w:rsidR="00055D3E" w:rsidTr="00055D3E">
        <w:trPr>
          <w:trHeight w:val="650"/>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编号</w:t>
            </w:r>
          </w:p>
        </w:tc>
        <w:tc>
          <w:tcPr>
            <w:tcW w:w="467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评审内容</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分值</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评审方法</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评分标准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实得分</w:t>
            </w: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spacing w:line="324" w:lineRule="auto"/>
              <w:jc w:val="center"/>
              <w:rPr>
                <w:rFonts w:ascii="仿宋" w:eastAsia="仿宋" w:hAnsi="仿宋" w:cs="Times New Roman"/>
                <w:b/>
                <w:szCs w:val="21"/>
              </w:rPr>
            </w:pPr>
            <w:r>
              <w:rPr>
                <w:rFonts w:ascii="仿宋" w:eastAsia="仿宋" w:hAnsi="仿宋" w:hint="eastAsia"/>
                <w:b/>
                <w:szCs w:val="21"/>
              </w:rPr>
              <w:t>备注</w:t>
            </w:r>
          </w:p>
        </w:tc>
      </w:tr>
      <w:tr w:rsidR="00055D3E" w:rsidTr="00055D3E">
        <w:trPr>
          <w:trHeight w:val="3236"/>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1</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从业业绩</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w:t>
            </w:r>
            <w:r w:rsidR="00500AB7">
              <w:rPr>
                <w:rFonts w:ascii="仿宋" w:eastAsia="仿宋" w:hAnsi="仿宋" w:hint="eastAsia"/>
                <w:szCs w:val="21"/>
              </w:rPr>
              <w:t>参选</w:t>
            </w:r>
            <w:r>
              <w:rPr>
                <w:rFonts w:ascii="仿宋" w:eastAsia="仿宋" w:hAnsi="仿宋" w:hint="eastAsia"/>
                <w:szCs w:val="21"/>
              </w:rPr>
              <w:t>人餐饮业经营管理经验；</w:t>
            </w:r>
          </w:p>
          <w:p w:rsidR="00055D3E" w:rsidRDefault="00055D3E">
            <w:pPr>
              <w:adjustRightInd w:val="0"/>
              <w:snapToGrid w:val="0"/>
              <w:rPr>
                <w:rFonts w:ascii="仿宋" w:eastAsia="仿宋" w:hAnsi="仿宋"/>
                <w:szCs w:val="21"/>
              </w:rPr>
            </w:pPr>
            <w:r>
              <w:rPr>
                <w:rFonts w:ascii="仿宋" w:eastAsia="仿宋" w:hAnsi="仿宋" w:hint="eastAsia"/>
                <w:szCs w:val="21"/>
              </w:rPr>
              <w:t>（2）</w:t>
            </w:r>
            <w:r w:rsidR="00500AB7">
              <w:rPr>
                <w:rFonts w:ascii="仿宋" w:eastAsia="仿宋" w:hAnsi="仿宋" w:hint="eastAsia"/>
                <w:szCs w:val="21"/>
              </w:rPr>
              <w:t>参选</w:t>
            </w:r>
            <w:r>
              <w:rPr>
                <w:rFonts w:ascii="仿宋" w:eastAsia="仿宋" w:hAnsi="仿宋" w:hint="eastAsia"/>
                <w:szCs w:val="21"/>
              </w:rPr>
              <w:t>人近三年内有机关、事业单位或大型企业等单位食堂经营经验；</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（3）拟派项目管理人员近三年内有机关、事业单位或大型企业等单位食堂管理经验。</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16分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查看执照，承包合同、对应银行收款凭证、在职社保证明、工资流水等复印件（加盖公章）、服务对象出具的相关证明材料（加盖服务对象鲜章）</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w:t>
            </w:r>
            <w:r w:rsidR="00500AB7">
              <w:rPr>
                <w:rFonts w:ascii="仿宋" w:eastAsia="仿宋" w:hAnsi="仿宋" w:hint="eastAsia"/>
                <w:szCs w:val="21"/>
              </w:rPr>
              <w:t>参选</w:t>
            </w:r>
            <w:r>
              <w:rPr>
                <w:rFonts w:ascii="仿宋" w:eastAsia="仿宋" w:hAnsi="仿宋" w:hint="eastAsia"/>
                <w:szCs w:val="21"/>
              </w:rPr>
              <w:t>人具有餐饮服务业管理经验，有2分，无0分</w:t>
            </w:r>
          </w:p>
          <w:p w:rsidR="00055D3E" w:rsidRDefault="00055D3E">
            <w:pPr>
              <w:adjustRightInd w:val="0"/>
              <w:snapToGrid w:val="0"/>
              <w:rPr>
                <w:rFonts w:ascii="仿宋" w:eastAsia="仿宋" w:hAnsi="仿宋"/>
                <w:szCs w:val="21"/>
              </w:rPr>
            </w:pPr>
            <w:r>
              <w:rPr>
                <w:rFonts w:ascii="仿宋" w:eastAsia="仿宋" w:hAnsi="仿宋" w:hint="eastAsia"/>
                <w:szCs w:val="21"/>
              </w:rPr>
              <w:t>2.1</w:t>
            </w:r>
            <w:r w:rsidR="00500AB7">
              <w:rPr>
                <w:rFonts w:ascii="仿宋" w:eastAsia="仿宋" w:hAnsi="仿宋" w:hint="eastAsia"/>
                <w:szCs w:val="21"/>
              </w:rPr>
              <w:t>参选</w:t>
            </w:r>
            <w:r>
              <w:rPr>
                <w:rFonts w:ascii="仿宋" w:eastAsia="仿宋" w:hAnsi="仿宋" w:hint="eastAsia"/>
                <w:szCs w:val="21"/>
              </w:rPr>
              <w:t>人有单位食堂经营经验，服务人数1000人以上6分，700人以上4分，400人以上2分，100人以上1分，100人以下0分</w:t>
            </w:r>
          </w:p>
          <w:p w:rsidR="00055D3E" w:rsidRDefault="00055D3E">
            <w:pPr>
              <w:adjustRightInd w:val="0"/>
              <w:snapToGrid w:val="0"/>
              <w:rPr>
                <w:rFonts w:ascii="仿宋" w:eastAsia="仿宋" w:hAnsi="仿宋"/>
                <w:szCs w:val="21"/>
              </w:rPr>
            </w:pPr>
            <w:r>
              <w:rPr>
                <w:rFonts w:ascii="仿宋" w:eastAsia="仿宋" w:hAnsi="仿宋" w:hint="eastAsia"/>
                <w:szCs w:val="21"/>
              </w:rPr>
              <w:t>2.2大型食堂（400人以上）管理经验5年及以上6分，3-4年4分，1-2年2分，无0分</w:t>
            </w:r>
          </w:p>
          <w:p w:rsidR="00055D3E" w:rsidRDefault="00055D3E">
            <w:pPr>
              <w:adjustRightInd w:val="0"/>
              <w:snapToGrid w:val="0"/>
              <w:rPr>
                <w:rFonts w:ascii="仿宋" w:eastAsia="仿宋" w:hAnsi="仿宋"/>
                <w:szCs w:val="21"/>
              </w:rPr>
            </w:pPr>
            <w:r>
              <w:rPr>
                <w:rFonts w:ascii="仿宋" w:eastAsia="仿宋" w:hAnsi="仿宋" w:hint="eastAsia"/>
                <w:szCs w:val="21"/>
              </w:rPr>
              <w:t>3.项目管理人员单位食堂管理经历，3年以上2分，1-2年1分；无0分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4.以上相关资料不全，不得分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3207"/>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2</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团队实力</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（1）团队构建合理且岗位职责合理</w:t>
            </w:r>
          </w:p>
          <w:p w:rsidR="00055D3E" w:rsidRDefault="00055D3E">
            <w:pPr>
              <w:adjustRightInd w:val="0"/>
              <w:snapToGrid w:val="0"/>
              <w:rPr>
                <w:rFonts w:ascii="仿宋" w:eastAsia="仿宋" w:hAnsi="仿宋"/>
                <w:szCs w:val="21"/>
              </w:rPr>
            </w:pPr>
            <w:r>
              <w:rPr>
                <w:rFonts w:ascii="仿宋" w:eastAsia="仿宋" w:hAnsi="仿宋" w:hint="eastAsia"/>
                <w:szCs w:val="21"/>
              </w:rPr>
              <w:t>（2）</w:t>
            </w:r>
            <w:r w:rsidR="00500AB7">
              <w:rPr>
                <w:rFonts w:ascii="仿宋" w:eastAsia="仿宋" w:hAnsi="仿宋" w:hint="eastAsia"/>
                <w:szCs w:val="21"/>
              </w:rPr>
              <w:t>参选</w:t>
            </w:r>
            <w:r>
              <w:rPr>
                <w:rFonts w:ascii="仿宋" w:eastAsia="仿宋" w:hAnsi="仿宋" w:hint="eastAsia"/>
                <w:szCs w:val="21"/>
              </w:rPr>
              <w:t>人拟派厨师团队拥有国家职业资格证书</w:t>
            </w:r>
          </w:p>
          <w:p w:rsidR="00055D3E" w:rsidRDefault="00055D3E" w:rsidP="00500AB7">
            <w:pPr>
              <w:adjustRightInd w:val="0"/>
              <w:snapToGrid w:val="0"/>
              <w:rPr>
                <w:rFonts w:ascii="仿宋" w:eastAsia="仿宋" w:hAnsi="仿宋" w:cs="Times New Roman"/>
                <w:szCs w:val="21"/>
              </w:rPr>
            </w:pPr>
            <w:r>
              <w:rPr>
                <w:rFonts w:ascii="仿宋" w:eastAsia="仿宋" w:hAnsi="仿宋" w:hint="eastAsia"/>
                <w:szCs w:val="21"/>
              </w:rPr>
              <w:t>（3）</w:t>
            </w:r>
            <w:r w:rsidR="00500AB7">
              <w:rPr>
                <w:rFonts w:ascii="仿宋" w:eastAsia="仿宋" w:hAnsi="仿宋" w:hint="eastAsia"/>
                <w:szCs w:val="21"/>
              </w:rPr>
              <w:t>参选</w:t>
            </w:r>
            <w:r>
              <w:rPr>
                <w:rFonts w:ascii="仿宋" w:eastAsia="仿宋" w:hAnsi="仿宋" w:hint="eastAsia"/>
                <w:szCs w:val="21"/>
              </w:rPr>
              <w:t>人拟派团队的相关资格证书</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10分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身份证复印件，姓名与团队名单一致且有效，以及近3月社保证明或聘用合同</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查看职业资格证书和其它相关资格证书复印件（原件备查）</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1.团队应包括管理者、厨师长、厨师和服务员等，人数在7人及以上，且岗位职责明确2分，团队不健全职责不合理0分</w:t>
            </w:r>
          </w:p>
          <w:p w:rsidR="00055D3E" w:rsidRDefault="00055D3E">
            <w:pPr>
              <w:adjustRightInd w:val="0"/>
              <w:snapToGrid w:val="0"/>
              <w:rPr>
                <w:rFonts w:ascii="仿宋" w:eastAsia="仿宋" w:hAnsi="仿宋"/>
                <w:szCs w:val="21"/>
              </w:rPr>
            </w:pPr>
            <w:r>
              <w:rPr>
                <w:rFonts w:ascii="仿宋" w:eastAsia="仿宋" w:hAnsi="仿宋" w:hint="eastAsia"/>
                <w:szCs w:val="21"/>
              </w:rPr>
              <w:t>2.以厨师最高等级评分。高级(国家职业资格三级及以上)1人2分，最多不超过4分；中级（国家职业资格四级）1人1分，最多不超过2分，初级0分</w:t>
            </w:r>
          </w:p>
          <w:p w:rsidR="00055D3E" w:rsidRDefault="00055D3E">
            <w:pPr>
              <w:adjustRightInd w:val="0"/>
              <w:snapToGrid w:val="0"/>
              <w:rPr>
                <w:rFonts w:ascii="仿宋" w:eastAsia="仿宋" w:hAnsi="仿宋"/>
                <w:szCs w:val="21"/>
              </w:rPr>
            </w:pPr>
            <w:r>
              <w:rPr>
                <w:rFonts w:ascii="仿宋" w:eastAsia="仿宋" w:hAnsi="仿宋" w:hint="eastAsia"/>
                <w:szCs w:val="21"/>
              </w:rPr>
              <w:t>3.1有公共营养师证2分，无0分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3.2通过ISO9001质量体系认证2分，无0分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1269"/>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lastRenderedPageBreak/>
              <w:t>3</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制度健全</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管理制度至少应包括以下规章制度，即卫生管理制度、岗位职责、食品留样制度、采购制度、凉菜加工制作制度、库房管理制度等。</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6分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查看管理制度文本</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管理制度齐全、针对性和操作性强6分，一般3分，差或制度不全0分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1402"/>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4</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膳食质量</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（1）三餐菜谱品种丰富，食物品种搭配科学，营养均衡；</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（2）体现货真价实，质价相符，符合微利原则。</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35分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rsidP="00500AB7">
            <w:pPr>
              <w:adjustRightInd w:val="0"/>
              <w:snapToGrid w:val="0"/>
              <w:rPr>
                <w:rFonts w:ascii="仿宋" w:eastAsia="仿宋" w:hAnsi="仿宋" w:cs="Times New Roman"/>
                <w:szCs w:val="21"/>
              </w:rPr>
            </w:pPr>
            <w:r>
              <w:rPr>
                <w:rFonts w:ascii="仿宋" w:eastAsia="仿宋" w:hAnsi="仿宋" w:hint="eastAsia"/>
                <w:szCs w:val="21"/>
              </w:rPr>
              <w:t>查看</w:t>
            </w:r>
            <w:r w:rsidR="00500AB7">
              <w:rPr>
                <w:rFonts w:ascii="仿宋" w:eastAsia="仿宋" w:hAnsi="仿宋" w:hint="eastAsia"/>
                <w:szCs w:val="21"/>
              </w:rPr>
              <w:t>响应</w:t>
            </w:r>
            <w:r>
              <w:rPr>
                <w:rFonts w:ascii="仿宋" w:eastAsia="仿宋" w:hAnsi="仿宋" w:hint="eastAsia"/>
                <w:szCs w:val="21"/>
              </w:rPr>
              <w:t>文件中的至少一周的菜谱，结合现场询问综合判定</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菜品种丰富，荤素菜品各4样及以上，搭配科学、合理、营养均衡，体现货真价实，质价相符，符合微利原则。现场综合判定，最高得分不超过35分，最低得分不低于21分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1690"/>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5</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供应保障</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（1）食材供应渠道正规、安全、可追溯</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（2）食材、食物储存规范</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15分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原材料供应基地证明材料或（和）供货协议</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以及相关管理方案</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1.有大型农产品供货货源或原材料供应基地得10分，无0分</w:t>
            </w:r>
          </w:p>
          <w:p w:rsidR="00055D3E" w:rsidRDefault="00055D3E">
            <w:pPr>
              <w:adjustRightInd w:val="0"/>
              <w:snapToGrid w:val="0"/>
              <w:rPr>
                <w:rFonts w:ascii="仿宋" w:eastAsia="仿宋" w:hAnsi="仿宋"/>
                <w:szCs w:val="21"/>
              </w:rPr>
            </w:pPr>
            <w:r>
              <w:rPr>
                <w:rFonts w:ascii="仿宋" w:eastAsia="仿宋" w:hAnsi="仿宋" w:hint="eastAsia"/>
                <w:szCs w:val="21"/>
              </w:rPr>
              <w:t>2.进货渠道正规3分，不正规0分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3.食材、食物储存规范2分，不规范0分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3683"/>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6</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安全保障</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（1）员工上岗必须持有健康证；</w:t>
            </w:r>
          </w:p>
          <w:p w:rsidR="00055D3E" w:rsidRDefault="00055D3E">
            <w:pPr>
              <w:adjustRightInd w:val="0"/>
              <w:snapToGrid w:val="0"/>
              <w:rPr>
                <w:rFonts w:ascii="仿宋" w:eastAsia="仿宋" w:hAnsi="仿宋"/>
                <w:szCs w:val="21"/>
              </w:rPr>
            </w:pPr>
            <w:r>
              <w:rPr>
                <w:rFonts w:ascii="仿宋" w:eastAsia="仿宋" w:hAnsi="仿宋" w:hint="eastAsia"/>
                <w:szCs w:val="21"/>
              </w:rPr>
              <w:t>（2）严格执行《消防法》和燃气使用管理规定等国家法律法规，配备经过培训的安全监督员，负责每天检查食堂电、气、消防等设备设施安全，发现隐患及时处置和报告；</w:t>
            </w:r>
          </w:p>
          <w:p w:rsidR="00055D3E" w:rsidRDefault="00055D3E">
            <w:pPr>
              <w:adjustRightInd w:val="0"/>
              <w:snapToGrid w:val="0"/>
              <w:rPr>
                <w:rFonts w:ascii="仿宋" w:eastAsia="仿宋" w:hAnsi="仿宋"/>
                <w:szCs w:val="21"/>
              </w:rPr>
            </w:pPr>
            <w:r>
              <w:rPr>
                <w:rFonts w:ascii="仿宋" w:eastAsia="仿宋" w:hAnsi="仿宋" w:hint="eastAsia"/>
                <w:szCs w:val="21"/>
              </w:rPr>
              <w:t>（3）有健全的安全管理制度、安全操作规程和突发事件安全应急预案（包括消防、燃气和食品安全等）；</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（4）加强员工安全教育，定期组织安全培训和演练。</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8分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查看健康证复印件、以及相关管理制度和预案</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1.餐饮从业人员均有健康证2分，不齐或无0分</w:t>
            </w:r>
          </w:p>
          <w:p w:rsidR="00055D3E" w:rsidRDefault="00055D3E">
            <w:pPr>
              <w:adjustRightInd w:val="0"/>
              <w:snapToGrid w:val="0"/>
              <w:rPr>
                <w:rFonts w:ascii="仿宋" w:eastAsia="仿宋" w:hAnsi="仿宋"/>
                <w:szCs w:val="21"/>
              </w:rPr>
            </w:pPr>
            <w:r>
              <w:rPr>
                <w:rFonts w:ascii="仿宋" w:eastAsia="仿宋" w:hAnsi="仿宋" w:hint="eastAsia"/>
                <w:szCs w:val="21"/>
              </w:rPr>
              <w:t>2.明确专(兼)职人员负责安全，且职责明确2分，无人员负责或职责不明确0分</w:t>
            </w:r>
          </w:p>
          <w:p w:rsidR="00055D3E" w:rsidRDefault="00055D3E">
            <w:pPr>
              <w:adjustRightInd w:val="0"/>
              <w:snapToGrid w:val="0"/>
              <w:rPr>
                <w:rFonts w:ascii="仿宋" w:eastAsia="仿宋" w:hAnsi="仿宋"/>
                <w:szCs w:val="21"/>
              </w:rPr>
            </w:pPr>
            <w:r>
              <w:rPr>
                <w:rFonts w:ascii="仿宋" w:eastAsia="仿宋" w:hAnsi="仿宋" w:hint="eastAsia"/>
                <w:szCs w:val="21"/>
              </w:rPr>
              <w:t>3.安全管理制度、规程和预案齐全3分，无或不齐0分</w:t>
            </w:r>
          </w:p>
          <w:p w:rsidR="00055D3E" w:rsidRDefault="00055D3E">
            <w:pPr>
              <w:adjustRightInd w:val="0"/>
              <w:snapToGrid w:val="0"/>
              <w:rPr>
                <w:rFonts w:ascii="仿宋" w:eastAsia="仿宋" w:hAnsi="仿宋"/>
                <w:szCs w:val="21"/>
              </w:rPr>
            </w:pPr>
            <w:r>
              <w:rPr>
                <w:rFonts w:ascii="仿宋" w:eastAsia="仿宋" w:hAnsi="仿宋" w:hint="eastAsia"/>
                <w:szCs w:val="21"/>
              </w:rPr>
              <w:t>4.安全员培训合格证，有1分，无0分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5.员工安全培训和演练方案，有2分，无0分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1695"/>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lastRenderedPageBreak/>
              <w:t>7</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卫生保洁</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厨房、餐厅的卫生、保洁规范</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防鼠、蟑螂等“四害”措施合理</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2分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查看相关管理方案</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1.厨房、餐厅的卫生、保洁规范1分，不规范0分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2.防鼠、蟑螂等“四害”措施合理1分，不合理0分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3104"/>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8</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服务承诺</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（1）服从中心应急处置、大型活动、宴会招待和节假日餐饮安排；</w:t>
            </w:r>
          </w:p>
          <w:p w:rsidR="00055D3E" w:rsidRDefault="00055D3E">
            <w:pPr>
              <w:adjustRightInd w:val="0"/>
              <w:snapToGrid w:val="0"/>
              <w:rPr>
                <w:rFonts w:ascii="仿宋" w:eastAsia="仿宋" w:hAnsi="仿宋"/>
                <w:szCs w:val="21"/>
              </w:rPr>
            </w:pPr>
            <w:r>
              <w:rPr>
                <w:rFonts w:ascii="仿宋" w:eastAsia="仿宋" w:hAnsi="仿宋" w:hint="eastAsia"/>
                <w:szCs w:val="21"/>
              </w:rPr>
              <w:t>（2）制定员工服务规范，着装统一整洁，挂牌上岗，热情服务，文明用语；</w:t>
            </w:r>
          </w:p>
          <w:p w:rsidR="00055D3E" w:rsidRDefault="00055D3E">
            <w:pPr>
              <w:adjustRightInd w:val="0"/>
              <w:snapToGrid w:val="0"/>
              <w:rPr>
                <w:rFonts w:ascii="仿宋" w:eastAsia="仿宋" w:hAnsi="仿宋"/>
                <w:szCs w:val="21"/>
              </w:rPr>
            </w:pPr>
            <w:r>
              <w:rPr>
                <w:rFonts w:ascii="仿宋" w:eastAsia="仿宋" w:hAnsi="仿宋" w:hint="eastAsia"/>
                <w:szCs w:val="21"/>
              </w:rPr>
              <w:t>（3）有反映意见的渠道，有改进方案与反馈流程。</w:t>
            </w:r>
          </w:p>
          <w:p w:rsidR="00055D3E" w:rsidRDefault="00055D3E">
            <w:pPr>
              <w:adjustRightInd w:val="0"/>
              <w:snapToGrid w:val="0"/>
              <w:rPr>
                <w:rFonts w:ascii="仿宋" w:eastAsia="仿宋" w:hAnsi="仿宋"/>
                <w:szCs w:val="21"/>
              </w:rPr>
            </w:pPr>
            <w:r>
              <w:rPr>
                <w:rFonts w:ascii="仿宋" w:eastAsia="仿宋" w:hAnsi="仿宋" w:hint="eastAsia"/>
                <w:szCs w:val="21"/>
              </w:rPr>
              <w:t>（4）承诺根据中心值班需要，开展送餐服务</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（5）承诺团队人员不得随意更换，经营活动不得随意转包</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8分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查看相关承诺和制度材料</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1.承诺服从中心安排2分，无承诺0分</w:t>
            </w:r>
          </w:p>
          <w:p w:rsidR="00055D3E" w:rsidRDefault="00055D3E">
            <w:pPr>
              <w:adjustRightInd w:val="0"/>
              <w:snapToGrid w:val="0"/>
              <w:rPr>
                <w:rFonts w:ascii="仿宋" w:eastAsia="仿宋" w:hAnsi="仿宋"/>
                <w:szCs w:val="21"/>
              </w:rPr>
            </w:pPr>
            <w:r>
              <w:rPr>
                <w:rFonts w:ascii="仿宋" w:eastAsia="仿宋" w:hAnsi="仿宋" w:hint="eastAsia"/>
                <w:szCs w:val="21"/>
              </w:rPr>
              <w:t>2.有员工服务规范2分，无0分</w:t>
            </w:r>
          </w:p>
          <w:p w:rsidR="00055D3E" w:rsidRDefault="00055D3E">
            <w:pPr>
              <w:adjustRightInd w:val="0"/>
              <w:snapToGrid w:val="0"/>
              <w:rPr>
                <w:rFonts w:ascii="仿宋" w:eastAsia="仿宋" w:hAnsi="仿宋"/>
                <w:szCs w:val="21"/>
              </w:rPr>
            </w:pPr>
            <w:r>
              <w:rPr>
                <w:rFonts w:ascii="仿宋" w:eastAsia="仿宋" w:hAnsi="仿宋" w:hint="eastAsia"/>
                <w:szCs w:val="21"/>
              </w:rPr>
              <w:t>3.意见反映和反馈渠道健全2分，无或不健全0分</w:t>
            </w:r>
          </w:p>
          <w:p w:rsidR="00055D3E" w:rsidRDefault="00055D3E">
            <w:pPr>
              <w:adjustRightInd w:val="0"/>
              <w:snapToGrid w:val="0"/>
              <w:rPr>
                <w:rFonts w:ascii="仿宋" w:eastAsia="仿宋" w:hAnsi="仿宋"/>
                <w:szCs w:val="21"/>
              </w:rPr>
            </w:pPr>
            <w:r>
              <w:rPr>
                <w:rFonts w:ascii="仿宋" w:eastAsia="仿宋" w:hAnsi="仿宋" w:hint="eastAsia"/>
                <w:szCs w:val="21"/>
              </w:rPr>
              <w:t>4.承诺送餐1分，无承诺0分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5承诺不随意更换团队人员，经营活动不得随意转包1分，无承诺0分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r w:rsidR="00055D3E" w:rsidTr="00055D3E">
        <w:trPr>
          <w:trHeight w:val="2822"/>
        </w:trPr>
        <w:tc>
          <w:tcPr>
            <w:tcW w:w="7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9</w:t>
            </w:r>
          </w:p>
        </w:tc>
        <w:tc>
          <w:tcPr>
            <w:tcW w:w="10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加分项</w:t>
            </w:r>
          </w:p>
        </w:tc>
        <w:tc>
          <w:tcPr>
            <w:tcW w:w="36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（1）职业安全健康管理体系认证</w:t>
            </w:r>
          </w:p>
          <w:p w:rsidR="00055D3E" w:rsidRDefault="00055D3E">
            <w:pPr>
              <w:adjustRightInd w:val="0"/>
              <w:snapToGrid w:val="0"/>
              <w:rPr>
                <w:rFonts w:ascii="仿宋" w:eastAsia="仿宋" w:hAnsi="仿宋"/>
                <w:szCs w:val="21"/>
              </w:rPr>
            </w:pPr>
            <w:r>
              <w:rPr>
                <w:rFonts w:ascii="仿宋" w:eastAsia="仿宋" w:hAnsi="仿宋" w:hint="eastAsia"/>
                <w:szCs w:val="21"/>
              </w:rPr>
              <w:t>（2）环境管理体系认证</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（3）菜谱中有非物质文化遗产美食或团队中有饮食类非物质文化遗产传承人</w:t>
            </w:r>
          </w:p>
        </w:tc>
        <w:tc>
          <w:tcPr>
            <w:tcW w:w="6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jc w:val="center"/>
              <w:rPr>
                <w:rFonts w:ascii="仿宋" w:eastAsia="仿宋" w:hAnsi="仿宋" w:cs="Times New Roman"/>
                <w:szCs w:val="21"/>
              </w:rPr>
            </w:pPr>
            <w:r>
              <w:rPr>
                <w:rFonts w:ascii="仿宋" w:eastAsia="仿宋" w:hAnsi="仿宋" w:hint="eastAsia"/>
                <w:szCs w:val="21"/>
              </w:rPr>
              <w:t>3分</w:t>
            </w:r>
          </w:p>
        </w:tc>
        <w:tc>
          <w:tcPr>
            <w:tcW w:w="21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cs="Times New Roman"/>
                <w:szCs w:val="21"/>
              </w:rPr>
            </w:pPr>
            <w:r>
              <w:rPr>
                <w:rFonts w:ascii="仿宋" w:eastAsia="仿宋" w:hAnsi="仿宋" w:hint="eastAsia"/>
                <w:szCs w:val="21"/>
              </w:rPr>
              <w:t>查看相关证书或证明材料</w:t>
            </w:r>
          </w:p>
        </w:tc>
        <w:tc>
          <w:tcPr>
            <w:tcW w:w="41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55D3E" w:rsidRDefault="00055D3E">
            <w:pPr>
              <w:adjustRightInd w:val="0"/>
              <w:snapToGrid w:val="0"/>
              <w:rPr>
                <w:rFonts w:ascii="仿宋" w:eastAsia="仿宋" w:hAnsi="仿宋"/>
                <w:szCs w:val="21"/>
              </w:rPr>
            </w:pPr>
            <w:r>
              <w:rPr>
                <w:rFonts w:ascii="仿宋" w:eastAsia="仿宋" w:hAnsi="仿宋" w:hint="eastAsia"/>
                <w:szCs w:val="21"/>
              </w:rPr>
              <w:t>（1）职业安全健康管理体系认证，有1分，无0分</w:t>
            </w:r>
          </w:p>
          <w:p w:rsidR="00055D3E" w:rsidRDefault="00055D3E">
            <w:pPr>
              <w:adjustRightInd w:val="0"/>
              <w:snapToGrid w:val="0"/>
              <w:rPr>
                <w:rFonts w:ascii="仿宋" w:eastAsia="仿宋" w:hAnsi="仿宋"/>
                <w:szCs w:val="21"/>
              </w:rPr>
            </w:pPr>
            <w:r>
              <w:rPr>
                <w:rFonts w:ascii="仿宋" w:eastAsia="仿宋" w:hAnsi="仿宋" w:hint="eastAsia"/>
                <w:szCs w:val="21"/>
              </w:rPr>
              <w:t>（2）环境管理体系认证，有1分，无0分</w:t>
            </w:r>
          </w:p>
          <w:p w:rsidR="00055D3E" w:rsidRDefault="00055D3E">
            <w:pPr>
              <w:adjustRightInd w:val="0"/>
              <w:snapToGrid w:val="0"/>
              <w:rPr>
                <w:rFonts w:ascii="仿宋" w:eastAsia="仿宋" w:hAnsi="仿宋" w:cs="Times New Roman"/>
                <w:szCs w:val="21"/>
              </w:rPr>
            </w:pPr>
            <w:r>
              <w:rPr>
                <w:rFonts w:ascii="仿宋" w:eastAsia="仿宋" w:hAnsi="仿宋" w:hint="eastAsia"/>
                <w:szCs w:val="21"/>
              </w:rPr>
              <w:t>（3）菜谱中有非物质文化遗产美食或团队中有非物质文化遗产传承人，有1分，无0分</w:t>
            </w:r>
          </w:p>
        </w:tc>
        <w:tc>
          <w:tcPr>
            <w:tcW w:w="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c>
          <w:tcPr>
            <w:tcW w:w="8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55D3E" w:rsidRDefault="00055D3E">
            <w:pPr>
              <w:adjustRightInd w:val="0"/>
              <w:snapToGrid w:val="0"/>
              <w:rPr>
                <w:rFonts w:ascii="仿宋" w:eastAsia="仿宋" w:hAnsi="仿宋" w:cs="Times New Roman"/>
                <w:szCs w:val="21"/>
              </w:rPr>
            </w:pPr>
          </w:p>
        </w:tc>
      </w:tr>
    </w:tbl>
    <w:p w:rsidR="00055D3E" w:rsidRDefault="00055D3E" w:rsidP="00055D3E">
      <w:pPr>
        <w:adjustRightInd w:val="0"/>
        <w:snapToGrid w:val="0"/>
        <w:rPr>
          <w:rFonts w:ascii="仿宋" w:eastAsia="仿宋" w:hAnsi="仿宋" w:cs="Times New Roman"/>
          <w:szCs w:val="21"/>
        </w:rPr>
      </w:pPr>
      <w:bookmarkStart w:id="0" w:name="_GoBack"/>
      <w:bookmarkEnd w:id="0"/>
    </w:p>
    <w:sectPr w:rsidR="00055D3E" w:rsidSect="00055D3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39" w:rsidRDefault="00F76A39" w:rsidP="00C168A0">
      <w:r>
        <w:separator/>
      </w:r>
    </w:p>
  </w:endnote>
  <w:endnote w:type="continuationSeparator" w:id="0">
    <w:p w:rsidR="00F76A39" w:rsidRDefault="00F76A39" w:rsidP="00C1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39" w:rsidRDefault="00F76A39" w:rsidP="00C168A0">
      <w:r>
        <w:separator/>
      </w:r>
    </w:p>
  </w:footnote>
  <w:footnote w:type="continuationSeparator" w:id="0">
    <w:p w:rsidR="00F76A39" w:rsidRDefault="00F76A39" w:rsidP="00C1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6F"/>
    <w:rsid w:val="00005FB7"/>
    <w:rsid w:val="000247B7"/>
    <w:rsid w:val="00055D3E"/>
    <w:rsid w:val="000753FA"/>
    <w:rsid w:val="00121A0E"/>
    <w:rsid w:val="00153D24"/>
    <w:rsid w:val="001825E5"/>
    <w:rsid w:val="001E0222"/>
    <w:rsid w:val="001F4AAE"/>
    <w:rsid w:val="00251607"/>
    <w:rsid w:val="002A4C1F"/>
    <w:rsid w:val="002D6383"/>
    <w:rsid w:val="002D6C03"/>
    <w:rsid w:val="002F5EA4"/>
    <w:rsid w:val="00301095"/>
    <w:rsid w:val="003C4670"/>
    <w:rsid w:val="003D4C73"/>
    <w:rsid w:val="003E26F4"/>
    <w:rsid w:val="003F4EBF"/>
    <w:rsid w:val="00411E6B"/>
    <w:rsid w:val="004243BE"/>
    <w:rsid w:val="004D1A9B"/>
    <w:rsid w:val="004F5E43"/>
    <w:rsid w:val="00500AB7"/>
    <w:rsid w:val="0053051A"/>
    <w:rsid w:val="00584846"/>
    <w:rsid w:val="00624ADF"/>
    <w:rsid w:val="007239B6"/>
    <w:rsid w:val="0072533B"/>
    <w:rsid w:val="00812A06"/>
    <w:rsid w:val="0083066F"/>
    <w:rsid w:val="00844233"/>
    <w:rsid w:val="0085406D"/>
    <w:rsid w:val="00867F1D"/>
    <w:rsid w:val="008759BB"/>
    <w:rsid w:val="0089358D"/>
    <w:rsid w:val="009039F3"/>
    <w:rsid w:val="00922DA7"/>
    <w:rsid w:val="00AD2C0D"/>
    <w:rsid w:val="00BF34CC"/>
    <w:rsid w:val="00C168A0"/>
    <w:rsid w:val="00C23B71"/>
    <w:rsid w:val="00C63C13"/>
    <w:rsid w:val="00C7158F"/>
    <w:rsid w:val="00CF3FA2"/>
    <w:rsid w:val="00D41A1D"/>
    <w:rsid w:val="00D4555C"/>
    <w:rsid w:val="00E03BAB"/>
    <w:rsid w:val="00F7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70BE2"/>
  <w15:docId w15:val="{FD10A168-1A34-4995-9F18-187331FD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68A0"/>
    <w:rPr>
      <w:sz w:val="18"/>
      <w:szCs w:val="18"/>
    </w:rPr>
  </w:style>
  <w:style w:type="paragraph" w:styleId="a5">
    <w:name w:val="footer"/>
    <w:basedOn w:val="a"/>
    <w:link w:val="a6"/>
    <w:uiPriority w:val="99"/>
    <w:unhideWhenUsed/>
    <w:rsid w:val="00C168A0"/>
    <w:pPr>
      <w:tabs>
        <w:tab w:val="center" w:pos="4153"/>
        <w:tab w:val="right" w:pos="8306"/>
      </w:tabs>
      <w:snapToGrid w:val="0"/>
      <w:jc w:val="left"/>
    </w:pPr>
    <w:rPr>
      <w:sz w:val="18"/>
      <w:szCs w:val="18"/>
    </w:rPr>
  </w:style>
  <w:style w:type="character" w:customStyle="1" w:styleId="a6">
    <w:name w:val="页脚 字符"/>
    <w:basedOn w:val="a0"/>
    <w:link w:val="a5"/>
    <w:uiPriority w:val="99"/>
    <w:rsid w:val="00C168A0"/>
    <w:rPr>
      <w:sz w:val="18"/>
      <w:szCs w:val="18"/>
    </w:rPr>
  </w:style>
  <w:style w:type="paragraph" w:customStyle="1" w:styleId="reader-word-layer">
    <w:name w:val="reader-word-layer"/>
    <w:basedOn w:val="a"/>
    <w:rsid w:val="002F5EA4"/>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C63C13"/>
    <w:pPr>
      <w:ind w:firstLineChars="200" w:firstLine="420"/>
    </w:pPr>
  </w:style>
  <w:style w:type="paragraph" w:styleId="a8">
    <w:name w:val="Normal (Web)"/>
    <w:basedOn w:val="a"/>
    <w:uiPriority w:val="99"/>
    <w:unhideWhenUsed/>
    <w:rsid w:val="000247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27288">
      <w:bodyDiv w:val="1"/>
      <w:marLeft w:val="0"/>
      <w:marRight w:val="0"/>
      <w:marTop w:val="0"/>
      <w:marBottom w:val="0"/>
      <w:divBdr>
        <w:top w:val="none" w:sz="0" w:space="0" w:color="auto"/>
        <w:left w:val="none" w:sz="0" w:space="0" w:color="auto"/>
        <w:bottom w:val="none" w:sz="0" w:space="0" w:color="auto"/>
        <w:right w:val="none" w:sz="0" w:space="0" w:color="auto"/>
      </w:divBdr>
    </w:div>
    <w:div w:id="631447363">
      <w:bodyDiv w:val="1"/>
      <w:marLeft w:val="0"/>
      <w:marRight w:val="0"/>
      <w:marTop w:val="0"/>
      <w:marBottom w:val="0"/>
      <w:divBdr>
        <w:top w:val="none" w:sz="0" w:space="0" w:color="auto"/>
        <w:left w:val="none" w:sz="0" w:space="0" w:color="auto"/>
        <w:bottom w:val="none" w:sz="0" w:space="0" w:color="auto"/>
        <w:right w:val="none" w:sz="0" w:space="0" w:color="auto"/>
      </w:divBdr>
    </w:div>
    <w:div w:id="1383793093">
      <w:bodyDiv w:val="1"/>
      <w:marLeft w:val="0"/>
      <w:marRight w:val="0"/>
      <w:marTop w:val="0"/>
      <w:marBottom w:val="0"/>
      <w:divBdr>
        <w:top w:val="none" w:sz="0" w:space="0" w:color="auto"/>
        <w:left w:val="none" w:sz="0" w:space="0" w:color="auto"/>
        <w:bottom w:val="none" w:sz="0" w:space="0" w:color="auto"/>
        <w:right w:val="none" w:sz="0" w:space="0" w:color="auto"/>
      </w:divBdr>
    </w:div>
    <w:div w:id="1417747466">
      <w:bodyDiv w:val="1"/>
      <w:marLeft w:val="0"/>
      <w:marRight w:val="0"/>
      <w:marTop w:val="0"/>
      <w:marBottom w:val="0"/>
      <w:divBdr>
        <w:top w:val="none" w:sz="0" w:space="0" w:color="auto"/>
        <w:left w:val="none" w:sz="0" w:space="0" w:color="auto"/>
        <w:bottom w:val="none" w:sz="0" w:space="0" w:color="auto"/>
        <w:right w:val="none" w:sz="0" w:space="0" w:color="auto"/>
      </w:divBdr>
    </w:div>
    <w:div w:id="1736590017">
      <w:bodyDiv w:val="1"/>
      <w:marLeft w:val="0"/>
      <w:marRight w:val="0"/>
      <w:marTop w:val="0"/>
      <w:marBottom w:val="0"/>
      <w:divBdr>
        <w:top w:val="none" w:sz="0" w:space="0" w:color="auto"/>
        <w:left w:val="none" w:sz="0" w:space="0" w:color="auto"/>
        <w:bottom w:val="none" w:sz="0" w:space="0" w:color="auto"/>
        <w:right w:val="none" w:sz="0" w:space="0" w:color="auto"/>
      </w:divBdr>
    </w:div>
    <w:div w:id="21056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杨楣</cp:lastModifiedBy>
  <cp:revision>3</cp:revision>
  <dcterms:created xsi:type="dcterms:W3CDTF">2022-09-30T03:27:00Z</dcterms:created>
  <dcterms:modified xsi:type="dcterms:W3CDTF">2022-09-30T03:27:00Z</dcterms:modified>
</cp:coreProperties>
</file>