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rPr>
          <w:rFonts w:ascii="宋体" w:hAnsi="宋体" w:cs="宋体"/>
          <w:b/>
          <w:sz w:val="18"/>
          <w:szCs w:val="18"/>
          <w:lang w:bidi="ar"/>
        </w:rPr>
      </w:pPr>
    </w:p>
    <w:p>
      <w:pPr>
        <w:spacing w:line="720" w:lineRule="auto"/>
        <w:rPr>
          <w:rFonts w:ascii="宋体" w:hAnsi="宋体" w:cs="宋体"/>
          <w:b/>
          <w:sz w:val="18"/>
          <w:szCs w:val="18"/>
          <w:lang w:bidi="ar"/>
        </w:rPr>
      </w:pPr>
    </w:p>
    <w:p>
      <w:pPr>
        <w:spacing w:line="720" w:lineRule="auto"/>
        <w:jc w:val="center"/>
        <w:rPr>
          <w:rFonts w:ascii="宋体" w:hAnsi="宋体" w:cs="宋体"/>
          <w:b/>
          <w:sz w:val="48"/>
          <w:szCs w:val="48"/>
        </w:rPr>
      </w:pPr>
      <w:r>
        <w:rPr>
          <w:rFonts w:hint="eastAsia" w:ascii="宋体" w:hAnsi="宋体" w:cs="宋体"/>
          <w:b/>
          <w:sz w:val="48"/>
          <w:szCs w:val="48"/>
          <w:lang w:bidi="ar"/>
        </w:rPr>
        <w:t>重庆市职业病防治综合管理信息系统</w:t>
      </w:r>
    </w:p>
    <w:p>
      <w:pPr>
        <w:spacing w:line="720" w:lineRule="auto"/>
        <w:jc w:val="center"/>
        <w:rPr>
          <w:rFonts w:ascii="宋体" w:hAnsi="宋体" w:cs="宋体"/>
          <w:b/>
          <w:sz w:val="48"/>
          <w:szCs w:val="48"/>
          <w:lang w:bidi="ar"/>
        </w:rPr>
      </w:pPr>
      <w:r>
        <w:rPr>
          <w:rFonts w:hint="eastAsia" w:ascii="宋体" w:hAnsi="宋体" w:cs="宋体"/>
          <w:b/>
          <w:sz w:val="48"/>
          <w:szCs w:val="48"/>
          <w:lang w:bidi="ar"/>
        </w:rPr>
        <w:t>职业病危害因素监测业务</w:t>
      </w:r>
    </w:p>
    <w:p>
      <w:pPr>
        <w:spacing w:line="720" w:lineRule="auto"/>
        <w:jc w:val="center"/>
        <w:rPr>
          <w:rFonts w:ascii="宋体" w:hAnsi="宋体" w:cs="宋体"/>
          <w:b/>
          <w:sz w:val="44"/>
          <w:szCs w:val="44"/>
        </w:rPr>
      </w:pPr>
      <w:r>
        <w:rPr>
          <w:rFonts w:hint="eastAsia" w:ascii="宋体" w:hAnsi="宋体" w:cs="宋体"/>
          <w:b/>
          <w:sz w:val="44"/>
          <w:szCs w:val="44"/>
          <w:lang w:bidi="ar"/>
        </w:rPr>
        <w:t>操作手册</w:t>
      </w:r>
    </w:p>
    <w:p>
      <w:pPr>
        <w:rPr>
          <w:b/>
          <w:sz w:val="44"/>
          <w:szCs w:val="44"/>
        </w:rPr>
      </w:pPr>
    </w:p>
    <w:p>
      <w:pPr>
        <w:jc w:val="center"/>
        <w:rPr>
          <w:rFonts w:ascii="宋体" w:hAnsi="宋体" w:cs="宋体"/>
          <w:b/>
          <w:sz w:val="44"/>
          <w:szCs w:val="36"/>
        </w:rPr>
      </w:pPr>
    </w:p>
    <w:p>
      <w:pPr>
        <w:jc w:val="center"/>
        <w:rPr>
          <w:rFonts w:ascii="宋体" w:hAnsi="宋体" w:cs="宋体"/>
          <w:b/>
          <w:sz w:val="44"/>
          <w:szCs w:val="36"/>
        </w:rPr>
      </w:pPr>
    </w:p>
    <w:p>
      <w:pPr>
        <w:ind w:left="2520"/>
        <w:rPr>
          <w:rFonts w:ascii="宋体" w:hAnsi="宋体" w:cs="宋体"/>
        </w:rPr>
      </w:pPr>
      <w:r>
        <w:rPr>
          <w:rFonts w:hint="eastAsia" w:ascii="宋体" w:hAnsi="宋体" w:cs="宋体"/>
          <w:lang w:bidi="ar"/>
        </w:rPr>
        <w:t>版</w:t>
      </w:r>
      <w:r>
        <w:rPr>
          <w:rFonts w:hint="eastAsia" w:ascii="宋体" w:hAnsi="宋体" w:cs="宋体"/>
          <w:lang w:bidi="ar"/>
        </w:rPr>
        <w:tab/>
      </w:r>
      <w:r>
        <w:rPr>
          <w:rFonts w:hint="eastAsia" w:ascii="宋体" w:hAnsi="宋体" w:cs="宋体"/>
          <w:lang w:bidi="ar"/>
        </w:rPr>
        <w:t xml:space="preserve">  本： 2.1</w:t>
      </w:r>
    </w:p>
    <w:p>
      <w:pPr>
        <w:ind w:left="2100" w:firstLine="420"/>
        <w:rPr>
          <w:rFonts w:ascii="宋体" w:hAnsi="宋体" w:cs="宋体"/>
        </w:rPr>
      </w:pPr>
      <w:r>
        <w:rPr>
          <w:rFonts w:hint="eastAsia" w:ascii="宋体" w:hAnsi="宋体" w:cs="宋体"/>
          <w:lang w:bidi="ar"/>
        </w:rPr>
        <w:t>发布时间：2021 年12月 28 日</w:t>
      </w: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b/>
          <w:sz w:val="28"/>
          <w:szCs w:val="28"/>
          <w:lang w:bidi="ar"/>
        </w:rPr>
      </w:pPr>
      <w:r>
        <w:rPr>
          <w:rFonts w:hint="eastAsia" w:ascii="宋体" w:hAnsi="宋体" w:cs="宋体"/>
          <w:b/>
          <w:sz w:val="28"/>
          <w:szCs w:val="28"/>
          <w:lang w:bidi="ar"/>
        </w:rPr>
        <w:t>南京中卫信软件科技股份有限公司</w:t>
      </w:r>
    </w:p>
    <w:p>
      <w:pPr>
        <w:jc w:val="center"/>
        <w:rPr>
          <w:rFonts w:ascii="宋体" w:hAnsi="宋体" w:cs="宋体"/>
          <w:b/>
          <w:sz w:val="28"/>
          <w:szCs w:val="28"/>
          <w:lang w:bidi="ar"/>
        </w:rPr>
      </w:pPr>
    </w:p>
    <w:p>
      <w:pPr>
        <w:rPr>
          <w:rFonts w:ascii="宋体" w:hAnsi="宋体" w:cs="宋体"/>
          <w:b/>
          <w:sz w:val="28"/>
          <w:szCs w:val="28"/>
          <w:lang w:bidi="ar"/>
        </w:rPr>
      </w:pPr>
    </w:p>
    <w:p>
      <w:pPr>
        <w:pStyle w:val="4"/>
        <w:pageBreakBefore/>
        <w:widowControl/>
        <w:spacing w:before="156" w:beforeLines="50" w:after="96" w:line="480" w:lineRule="auto"/>
        <w:jc w:val="center"/>
        <w:rPr>
          <w:sz w:val="30"/>
          <w:szCs w:val="30"/>
        </w:rPr>
      </w:pPr>
      <w:bookmarkStart w:id="0" w:name="_Toc521334580"/>
      <w:bookmarkStart w:id="1" w:name="_Toc497122756"/>
      <w:bookmarkStart w:id="2" w:name="_Toc518894033"/>
      <w:bookmarkStart w:id="3" w:name="_Toc508986495"/>
      <w:bookmarkStart w:id="4" w:name="_Toc515009054"/>
      <w:bookmarkStart w:id="5" w:name="_Toc514252267"/>
      <w:bookmarkStart w:id="6" w:name="_Toc499801698"/>
      <w:r>
        <w:rPr>
          <w:rFonts w:hint="eastAsia" w:ascii="宋体" w:hAnsi="宋体" w:cs="宋体"/>
          <w:sz w:val="30"/>
          <w:szCs w:val="30"/>
        </w:rPr>
        <w:t>变更履历</w:t>
      </w:r>
      <w:r>
        <w:rPr>
          <w:sz w:val="30"/>
          <w:szCs w:val="30"/>
        </w:rPr>
        <w:t>(RECORD OF CHANGES)</w:t>
      </w:r>
      <w:bookmarkEnd w:id="0"/>
      <w:bookmarkEnd w:id="1"/>
      <w:bookmarkEnd w:id="2"/>
      <w:bookmarkEnd w:id="3"/>
      <w:bookmarkEnd w:id="4"/>
      <w:bookmarkEnd w:id="5"/>
      <w:bookmarkEnd w:id="6"/>
    </w:p>
    <w:tbl>
      <w:tblPr>
        <w:tblStyle w:val="12"/>
        <w:tblW w:w="8336" w:type="dxa"/>
        <w:tblInd w:w="0" w:type="dxa"/>
        <w:tblLayout w:type="fixed"/>
        <w:tblCellMar>
          <w:top w:w="0" w:type="dxa"/>
          <w:left w:w="0" w:type="dxa"/>
          <w:bottom w:w="0" w:type="dxa"/>
          <w:right w:w="0" w:type="dxa"/>
        </w:tblCellMar>
      </w:tblPr>
      <w:tblGrid>
        <w:gridCol w:w="1026"/>
        <w:gridCol w:w="1399"/>
        <w:gridCol w:w="4045"/>
        <w:gridCol w:w="974"/>
        <w:gridCol w:w="892"/>
      </w:tblGrid>
      <w:tr>
        <w:tblPrEx>
          <w:tblCellMar>
            <w:top w:w="0" w:type="dxa"/>
            <w:left w:w="0" w:type="dxa"/>
            <w:bottom w:w="0" w:type="dxa"/>
            <w:right w:w="0" w:type="dxa"/>
          </w:tblCellMar>
        </w:tblPrEx>
        <w:trPr>
          <w:trHeight w:val="646" w:hRule="exact"/>
        </w:trPr>
        <w:tc>
          <w:tcPr>
            <w:tcW w:w="1026" w:type="dxa"/>
            <w:tcBorders>
              <w:top w:val="single" w:color="000000" w:sz="12" w:space="0"/>
              <w:left w:val="single" w:color="000000" w:sz="12" w:space="0"/>
              <w:bottom w:val="single" w:color="000000" w:sz="6" w:space="0"/>
              <w:right w:val="single" w:color="000000" w:sz="6" w:space="0"/>
            </w:tcBorders>
            <w:vAlign w:val="center"/>
          </w:tcPr>
          <w:p>
            <w:pPr>
              <w:pStyle w:val="11"/>
              <w:spacing w:before="143"/>
              <w:jc w:val="center"/>
              <w:rPr>
                <w:rFonts w:cs="宋体" w:asciiTheme="minorEastAsia" w:hAnsiTheme="minorEastAsia" w:eastAsiaTheme="minorEastAsia"/>
                <w:b/>
              </w:rPr>
            </w:pPr>
            <w:r>
              <w:rPr>
                <w:rFonts w:hint="eastAsia" w:cs="宋体" w:asciiTheme="minorEastAsia" w:hAnsiTheme="minorEastAsia" w:eastAsiaTheme="minorEastAsia"/>
                <w:b/>
                <w:kern w:val="0"/>
                <w:lang w:bidi="ar"/>
              </w:rPr>
              <w:t>版本号</w:t>
            </w:r>
          </w:p>
        </w:tc>
        <w:tc>
          <w:tcPr>
            <w:tcW w:w="1399" w:type="dxa"/>
            <w:tcBorders>
              <w:top w:val="single" w:color="000000" w:sz="12" w:space="0"/>
              <w:left w:val="single" w:color="000000" w:sz="6" w:space="0"/>
              <w:bottom w:val="single" w:color="000000" w:sz="6" w:space="0"/>
              <w:right w:val="single" w:color="000000" w:sz="6" w:space="0"/>
            </w:tcBorders>
            <w:vAlign w:val="center"/>
          </w:tcPr>
          <w:p>
            <w:pPr>
              <w:pStyle w:val="11"/>
              <w:spacing w:before="143"/>
              <w:jc w:val="center"/>
              <w:rPr>
                <w:rFonts w:cs="宋体" w:asciiTheme="minorEastAsia" w:hAnsiTheme="minorEastAsia" w:eastAsiaTheme="minorEastAsia"/>
                <w:b/>
              </w:rPr>
            </w:pPr>
            <w:r>
              <w:rPr>
                <w:rFonts w:hint="eastAsia" w:cs="宋体" w:asciiTheme="minorEastAsia" w:hAnsiTheme="minorEastAsia" w:eastAsiaTheme="minorEastAsia"/>
                <w:b/>
                <w:kern w:val="0"/>
                <w:lang w:bidi="ar"/>
              </w:rPr>
              <w:t>变更日期</w:t>
            </w:r>
          </w:p>
        </w:tc>
        <w:tc>
          <w:tcPr>
            <w:tcW w:w="4045" w:type="dxa"/>
            <w:tcBorders>
              <w:top w:val="single" w:color="000000" w:sz="12" w:space="0"/>
              <w:left w:val="single" w:color="000000" w:sz="6" w:space="0"/>
              <w:bottom w:val="single" w:color="000000" w:sz="6" w:space="0"/>
              <w:right w:val="single" w:color="000000" w:sz="6" w:space="0"/>
            </w:tcBorders>
            <w:vAlign w:val="center"/>
          </w:tcPr>
          <w:p>
            <w:pPr>
              <w:pStyle w:val="11"/>
              <w:spacing w:before="143"/>
              <w:ind w:left="103"/>
              <w:jc w:val="center"/>
              <w:rPr>
                <w:rFonts w:cs="宋体" w:asciiTheme="minorEastAsia" w:hAnsiTheme="minorEastAsia" w:eastAsiaTheme="minorEastAsia"/>
                <w:b/>
              </w:rPr>
            </w:pPr>
            <w:r>
              <w:rPr>
                <w:rFonts w:hint="eastAsia" w:cs="宋体" w:asciiTheme="minorEastAsia" w:hAnsiTheme="minorEastAsia" w:eastAsiaTheme="minorEastAsia"/>
                <w:b/>
                <w:kern w:val="0"/>
                <w:lang w:bidi="ar"/>
              </w:rPr>
              <w:t>变更理由/变更内容</w:t>
            </w:r>
          </w:p>
        </w:tc>
        <w:tc>
          <w:tcPr>
            <w:tcW w:w="974" w:type="dxa"/>
            <w:tcBorders>
              <w:top w:val="single" w:color="000000" w:sz="12"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b/>
              </w:rPr>
            </w:pPr>
            <w:r>
              <w:rPr>
                <w:rFonts w:hint="eastAsia" w:cs="宋体" w:asciiTheme="minorEastAsia" w:hAnsiTheme="minorEastAsia" w:eastAsiaTheme="minorEastAsia"/>
                <w:b/>
                <w:kern w:val="0"/>
                <w:lang w:bidi="ar"/>
              </w:rPr>
              <w:t>编制人</w:t>
            </w:r>
          </w:p>
        </w:tc>
        <w:tc>
          <w:tcPr>
            <w:tcW w:w="892" w:type="dxa"/>
            <w:tcBorders>
              <w:top w:val="single" w:color="000000" w:sz="12"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b/>
              </w:rPr>
            </w:pPr>
            <w:r>
              <w:rPr>
                <w:rFonts w:hint="eastAsia" w:cs="宋体" w:asciiTheme="minorEastAsia" w:hAnsiTheme="minorEastAsia" w:eastAsiaTheme="minorEastAsia"/>
                <w:b/>
                <w:kern w:val="0"/>
                <w:lang w:bidi="ar"/>
              </w:rPr>
              <w:t>审批人</w:t>
            </w: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6" w:space="0"/>
              <w:right w:val="single" w:color="000000" w:sz="6" w:space="0"/>
            </w:tcBorders>
            <w:vAlign w:val="center"/>
          </w:tcPr>
          <w:p>
            <w:pPr>
              <w:jc w:val="center"/>
              <w:rPr>
                <w:rFonts w:cs="仿宋" w:asciiTheme="minorEastAsia" w:hAnsiTheme="minorEastAsia"/>
              </w:rPr>
            </w:pPr>
            <w:r>
              <w:rPr>
                <w:rFonts w:hint="eastAsia" w:cs="仿宋" w:asciiTheme="minorEastAsia" w:hAnsiTheme="minorEastAsia"/>
                <w:lang w:bidi="ar"/>
              </w:rPr>
              <w:t>1.0</w:t>
            </w:r>
          </w:p>
        </w:tc>
        <w:tc>
          <w:tcPr>
            <w:tcW w:w="1399" w:type="dxa"/>
            <w:tcBorders>
              <w:top w:val="single" w:color="000000" w:sz="6" w:space="0"/>
              <w:left w:val="single" w:color="000000" w:sz="6" w:space="0"/>
              <w:bottom w:val="single" w:color="000000" w:sz="6" w:space="0"/>
              <w:right w:val="single" w:color="000000" w:sz="6" w:space="0"/>
            </w:tcBorders>
            <w:vAlign w:val="center"/>
          </w:tcPr>
          <w:p>
            <w:pPr>
              <w:jc w:val="center"/>
              <w:rPr>
                <w:rFonts w:cs="仿宋" w:asciiTheme="minorEastAsia" w:hAnsiTheme="minorEastAsia"/>
              </w:rPr>
            </w:pPr>
            <w:r>
              <w:rPr>
                <w:rFonts w:hint="eastAsia" w:cs="仿宋" w:asciiTheme="minorEastAsia" w:hAnsiTheme="minorEastAsia"/>
                <w:lang w:bidi="ar"/>
              </w:rPr>
              <w:t>2021.8.4</w:t>
            </w:r>
          </w:p>
        </w:tc>
        <w:tc>
          <w:tcPr>
            <w:tcW w:w="4045" w:type="dxa"/>
            <w:tcBorders>
              <w:top w:val="single" w:color="000000" w:sz="6" w:space="0"/>
              <w:left w:val="single" w:color="000000" w:sz="6" w:space="0"/>
              <w:bottom w:val="single" w:color="000000" w:sz="6" w:space="0"/>
              <w:right w:val="single" w:color="000000" w:sz="6" w:space="0"/>
            </w:tcBorders>
            <w:vAlign w:val="center"/>
          </w:tcPr>
          <w:p>
            <w:pPr>
              <w:pStyle w:val="11"/>
              <w:ind w:left="103"/>
              <w:rPr>
                <w:rFonts w:cs="宋体" w:asciiTheme="minorEastAsia" w:hAnsiTheme="minorEastAsia" w:eastAsiaTheme="minorEastAsia"/>
              </w:rPr>
            </w:pPr>
            <w:r>
              <w:rPr>
                <w:rFonts w:hint="eastAsia" w:cs="宋体" w:asciiTheme="minorEastAsia" w:hAnsiTheme="minorEastAsia" w:eastAsiaTheme="minorEastAsia"/>
                <w:kern w:val="0"/>
                <w:lang w:bidi="ar"/>
              </w:rPr>
              <w:t>创建</w:t>
            </w:r>
          </w:p>
        </w:tc>
        <w:tc>
          <w:tcPr>
            <w:tcW w:w="974" w:type="dxa"/>
            <w:tcBorders>
              <w:top w:val="single" w:color="000000" w:sz="6"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r>
              <w:rPr>
                <w:rFonts w:hint="eastAsia" w:cs="宋体" w:asciiTheme="minorEastAsia" w:hAnsiTheme="minorEastAsia" w:eastAsiaTheme="minorEastAsia"/>
                <w:kern w:val="0"/>
                <w:lang w:bidi="ar"/>
              </w:rPr>
              <w:t>张静</w:t>
            </w:r>
          </w:p>
        </w:tc>
        <w:tc>
          <w:tcPr>
            <w:tcW w:w="892" w:type="dxa"/>
            <w:tcBorders>
              <w:top w:val="single" w:color="000000" w:sz="6"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rPr>
            </w:pPr>
            <w:r>
              <w:rPr>
                <w:rFonts w:hint="eastAsia" w:cs="宋体" w:asciiTheme="minorEastAsia" w:hAnsiTheme="minorEastAsia" w:eastAsiaTheme="minorEastAsia"/>
              </w:rPr>
              <w:t>章兴峰</w:t>
            </w: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6" w:space="0"/>
              <w:right w:val="single" w:color="000000" w:sz="6" w:space="0"/>
            </w:tcBorders>
            <w:vAlign w:val="center"/>
          </w:tcPr>
          <w:p>
            <w:pPr>
              <w:jc w:val="center"/>
              <w:rPr>
                <w:rFonts w:cs="仿宋" w:asciiTheme="minorEastAsia" w:hAnsiTheme="minorEastAsia"/>
                <w:lang w:bidi="ar"/>
              </w:rPr>
            </w:pPr>
            <w:r>
              <w:rPr>
                <w:rFonts w:hint="eastAsia" w:cs="仿宋" w:asciiTheme="minorEastAsia" w:hAnsiTheme="minorEastAsia"/>
                <w:lang w:bidi="ar"/>
              </w:rPr>
              <w:t>2.0</w:t>
            </w:r>
          </w:p>
        </w:tc>
        <w:tc>
          <w:tcPr>
            <w:tcW w:w="1399" w:type="dxa"/>
            <w:tcBorders>
              <w:top w:val="single" w:color="000000" w:sz="6" w:space="0"/>
              <w:left w:val="single" w:color="000000" w:sz="6" w:space="0"/>
              <w:bottom w:val="single" w:color="000000" w:sz="6" w:space="0"/>
              <w:right w:val="single" w:color="000000" w:sz="6" w:space="0"/>
            </w:tcBorders>
            <w:vAlign w:val="center"/>
          </w:tcPr>
          <w:p>
            <w:pPr>
              <w:jc w:val="center"/>
              <w:rPr>
                <w:rFonts w:cs="仿宋" w:asciiTheme="minorEastAsia" w:hAnsiTheme="minorEastAsia"/>
                <w:lang w:bidi="ar"/>
              </w:rPr>
            </w:pPr>
            <w:r>
              <w:rPr>
                <w:rFonts w:hint="eastAsia" w:cs="仿宋" w:asciiTheme="minorEastAsia" w:hAnsiTheme="minorEastAsia"/>
                <w:lang w:bidi="ar"/>
              </w:rPr>
              <w:t>2021.8.12</w:t>
            </w:r>
          </w:p>
        </w:tc>
        <w:tc>
          <w:tcPr>
            <w:tcW w:w="4045" w:type="dxa"/>
            <w:tcBorders>
              <w:top w:val="single" w:color="000000" w:sz="6" w:space="0"/>
              <w:left w:val="single" w:color="000000" w:sz="6" w:space="0"/>
              <w:bottom w:val="single" w:color="000000" w:sz="6" w:space="0"/>
              <w:right w:val="single" w:color="000000" w:sz="6" w:space="0"/>
            </w:tcBorders>
            <w:vAlign w:val="center"/>
          </w:tcPr>
          <w:p>
            <w:pPr>
              <w:pStyle w:val="11"/>
              <w:ind w:left="103"/>
              <w:rPr>
                <w:rFonts w:cs="宋体" w:asciiTheme="minorEastAsia" w:hAnsiTheme="minorEastAsia" w:eastAsiaTheme="minorEastAsia"/>
                <w:kern w:val="0"/>
                <w:lang w:bidi="ar"/>
              </w:rPr>
            </w:pPr>
            <w:r>
              <w:rPr>
                <w:rFonts w:hint="eastAsia" w:cs="宋体" w:asciiTheme="minorEastAsia" w:hAnsiTheme="minorEastAsia" w:eastAsiaTheme="minorEastAsia"/>
                <w:kern w:val="0"/>
                <w:lang w:bidi="ar"/>
              </w:rPr>
              <w:t>主动监测流程修改</w:t>
            </w:r>
          </w:p>
        </w:tc>
        <w:tc>
          <w:tcPr>
            <w:tcW w:w="974" w:type="dxa"/>
            <w:tcBorders>
              <w:top w:val="single" w:color="000000" w:sz="6"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r>
              <w:rPr>
                <w:rFonts w:hint="eastAsia" w:cs="宋体" w:asciiTheme="minorEastAsia" w:hAnsiTheme="minorEastAsia" w:eastAsiaTheme="minorEastAsia"/>
                <w:kern w:val="0"/>
                <w:lang w:bidi="ar"/>
              </w:rPr>
              <w:t>张静</w:t>
            </w:r>
          </w:p>
        </w:tc>
        <w:tc>
          <w:tcPr>
            <w:tcW w:w="892" w:type="dxa"/>
            <w:tcBorders>
              <w:top w:val="single" w:color="000000" w:sz="6"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rPr>
            </w:pPr>
            <w:r>
              <w:rPr>
                <w:rFonts w:hint="eastAsia" w:cs="宋体" w:asciiTheme="minorEastAsia" w:hAnsiTheme="minorEastAsia" w:eastAsiaTheme="minorEastAsia"/>
              </w:rPr>
              <w:t>章兴峰</w:t>
            </w: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6" w:space="0"/>
              <w:right w:val="single" w:color="000000" w:sz="6" w:space="0"/>
            </w:tcBorders>
            <w:vAlign w:val="center"/>
          </w:tcPr>
          <w:p>
            <w:pPr>
              <w:jc w:val="center"/>
              <w:rPr>
                <w:rFonts w:cs="仿宋" w:asciiTheme="minorEastAsia" w:hAnsiTheme="minorEastAsia"/>
                <w:lang w:bidi="ar"/>
              </w:rPr>
            </w:pPr>
            <w:r>
              <w:rPr>
                <w:rFonts w:hint="eastAsia" w:cs="仿宋" w:asciiTheme="minorEastAsia" w:hAnsiTheme="minorEastAsia"/>
                <w:lang w:bidi="ar"/>
              </w:rPr>
              <w:t>2.1</w:t>
            </w:r>
          </w:p>
        </w:tc>
        <w:tc>
          <w:tcPr>
            <w:tcW w:w="1399" w:type="dxa"/>
            <w:tcBorders>
              <w:top w:val="single" w:color="000000" w:sz="6" w:space="0"/>
              <w:left w:val="single" w:color="000000" w:sz="6" w:space="0"/>
              <w:bottom w:val="single" w:color="000000" w:sz="6" w:space="0"/>
              <w:right w:val="single" w:color="000000" w:sz="6" w:space="0"/>
            </w:tcBorders>
            <w:vAlign w:val="center"/>
          </w:tcPr>
          <w:p>
            <w:pPr>
              <w:jc w:val="center"/>
              <w:rPr>
                <w:rFonts w:cs="仿宋" w:asciiTheme="minorEastAsia" w:hAnsiTheme="minorEastAsia"/>
                <w:lang w:bidi="ar"/>
              </w:rPr>
            </w:pPr>
            <w:r>
              <w:rPr>
                <w:rFonts w:hint="eastAsia" w:cs="仿宋" w:asciiTheme="minorEastAsia" w:hAnsiTheme="minorEastAsia"/>
                <w:lang w:bidi="ar"/>
              </w:rPr>
              <w:t>2021.12.28</w:t>
            </w:r>
          </w:p>
        </w:tc>
        <w:tc>
          <w:tcPr>
            <w:tcW w:w="4045" w:type="dxa"/>
            <w:tcBorders>
              <w:top w:val="single" w:color="000000" w:sz="6" w:space="0"/>
              <w:left w:val="single" w:color="000000" w:sz="6" w:space="0"/>
              <w:bottom w:val="single" w:color="000000" w:sz="6" w:space="0"/>
              <w:right w:val="single" w:color="000000" w:sz="6" w:space="0"/>
            </w:tcBorders>
            <w:vAlign w:val="center"/>
          </w:tcPr>
          <w:p>
            <w:pPr>
              <w:pStyle w:val="11"/>
              <w:ind w:left="103"/>
              <w:rPr>
                <w:rFonts w:cs="宋体" w:asciiTheme="minorEastAsia" w:hAnsiTheme="minorEastAsia" w:eastAsiaTheme="minorEastAsia"/>
                <w:kern w:val="0"/>
                <w:lang w:bidi="ar"/>
              </w:rPr>
            </w:pPr>
            <w:r>
              <w:rPr>
                <w:rFonts w:hint="eastAsia" w:cs="宋体" w:asciiTheme="minorEastAsia" w:hAnsiTheme="minorEastAsia" w:eastAsiaTheme="minorEastAsia"/>
                <w:kern w:val="0"/>
                <w:lang w:bidi="ar"/>
              </w:rPr>
              <w:t>新增物理因素检测流程</w:t>
            </w:r>
          </w:p>
        </w:tc>
        <w:tc>
          <w:tcPr>
            <w:tcW w:w="974" w:type="dxa"/>
            <w:tcBorders>
              <w:top w:val="single" w:color="000000" w:sz="6"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r>
              <w:rPr>
                <w:rFonts w:hint="eastAsia" w:cs="宋体" w:asciiTheme="minorEastAsia" w:hAnsiTheme="minorEastAsia" w:eastAsiaTheme="minorEastAsia"/>
                <w:kern w:val="0"/>
                <w:lang w:bidi="ar"/>
              </w:rPr>
              <w:t>胡传杰</w:t>
            </w:r>
          </w:p>
        </w:tc>
        <w:tc>
          <w:tcPr>
            <w:tcW w:w="892" w:type="dxa"/>
            <w:tcBorders>
              <w:top w:val="single" w:color="000000" w:sz="6"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rPr>
            </w:pPr>
            <w:r>
              <w:rPr>
                <w:rFonts w:hint="eastAsia" w:cs="宋体" w:asciiTheme="minorEastAsia" w:hAnsiTheme="minorEastAsia" w:eastAsiaTheme="minorEastAsia"/>
              </w:rPr>
              <w:t>章兴峰</w:t>
            </w: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6" w:space="0"/>
              <w:right w:val="single" w:color="000000" w:sz="6" w:space="0"/>
            </w:tcBorders>
            <w:vAlign w:val="center"/>
          </w:tcPr>
          <w:p>
            <w:pPr>
              <w:jc w:val="center"/>
              <w:rPr>
                <w:rFonts w:cs="仿宋" w:asciiTheme="minorEastAsia" w:hAnsiTheme="minorEastAsia"/>
                <w:lang w:bidi="ar"/>
              </w:rPr>
            </w:pPr>
          </w:p>
        </w:tc>
        <w:tc>
          <w:tcPr>
            <w:tcW w:w="1399" w:type="dxa"/>
            <w:tcBorders>
              <w:top w:val="single" w:color="000000" w:sz="6" w:space="0"/>
              <w:left w:val="single" w:color="000000" w:sz="6" w:space="0"/>
              <w:bottom w:val="single" w:color="000000" w:sz="6" w:space="0"/>
              <w:right w:val="single" w:color="000000" w:sz="6" w:space="0"/>
            </w:tcBorders>
            <w:vAlign w:val="center"/>
          </w:tcPr>
          <w:p>
            <w:pPr>
              <w:jc w:val="center"/>
              <w:rPr>
                <w:rFonts w:cs="仿宋" w:asciiTheme="minorEastAsia" w:hAnsiTheme="minorEastAsia"/>
                <w:lang w:bidi="ar"/>
              </w:rPr>
            </w:pPr>
          </w:p>
        </w:tc>
        <w:tc>
          <w:tcPr>
            <w:tcW w:w="4045" w:type="dxa"/>
            <w:tcBorders>
              <w:top w:val="single" w:color="000000" w:sz="6" w:space="0"/>
              <w:left w:val="single" w:color="000000" w:sz="6" w:space="0"/>
              <w:bottom w:val="single" w:color="000000" w:sz="6" w:space="0"/>
              <w:right w:val="single" w:color="000000" w:sz="6" w:space="0"/>
            </w:tcBorders>
            <w:vAlign w:val="center"/>
          </w:tcPr>
          <w:p>
            <w:pPr>
              <w:pStyle w:val="11"/>
              <w:ind w:left="103"/>
              <w:jc w:val="center"/>
              <w:rPr>
                <w:rFonts w:cs="宋体" w:asciiTheme="minorEastAsia" w:hAnsiTheme="minorEastAsia" w:eastAsiaTheme="minorEastAsia"/>
                <w:kern w:val="0"/>
                <w:lang w:bidi="ar"/>
              </w:rPr>
            </w:pPr>
          </w:p>
        </w:tc>
        <w:tc>
          <w:tcPr>
            <w:tcW w:w="974" w:type="dxa"/>
            <w:tcBorders>
              <w:top w:val="single" w:color="000000" w:sz="6"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p>
        </w:tc>
        <w:tc>
          <w:tcPr>
            <w:tcW w:w="892" w:type="dxa"/>
            <w:tcBorders>
              <w:top w:val="single" w:color="000000" w:sz="6"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rPr>
            </w:pP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6" w:space="0"/>
              <w:right w:val="single" w:color="000000" w:sz="6" w:space="0"/>
            </w:tcBorders>
            <w:vAlign w:val="center"/>
          </w:tcPr>
          <w:p>
            <w:pPr>
              <w:jc w:val="center"/>
              <w:rPr>
                <w:rFonts w:cs="仿宋" w:asciiTheme="minorEastAsia" w:hAnsiTheme="minorEastAsia"/>
                <w:lang w:bidi="ar"/>
              </w:rPr>
            </w:pPr>
          </w:p>
        </w:tc>
        <w:tc>
          <w:tcPr>
            <w:tcW w:w="1399" w:type="dxa"/>
            <w:tcBorders>
              <w:top w:val="single" w:color="000000" w:sz="6" w:space="0"/>
              <w:left w:val="single" w:color="000000" w:sz="6" w:space="0"/>
              <w:bottom w:val="single" w:color="000000" w:sz="6" w:space="0"/>
              <w:right w:val="single" w:color="000000" w:sz="6" w:space="0"/>
            </w:tcBorders>
            <w:vAlign w:val="center"/>
          </w:tcPr>
          <w:p>
            <w:pPr>
              <w:jc w:val="center"/>
              <w:rPr>
                <w:rFonts w:cs="仿宋" w:asciiTheme="minorEastAsia" w:hAnsiTheme="minorEastAsia"/>
                <w:lang w:bidi="ar"/>
              </w:rPr>
            </w:pPr>
          </w:p>
        </w:tc>
        <w:tc>
          <w:tcPr>
            <w:tcW w:w="4045" w:type="dxa"/>
            <w:tcBorders>
              <w:top w:val="single" w:color="000000" w:sz="6" w:space="0"/>
              <w:left w:val="single" w:color="000000" w:sz="6" w:space="0"/>
              <w:bottom w:val="single" w:color="000000" w:sz="6" w:space="0"/>
              <w:right w:val="single" w:color="000000" w:sz="6" w:space="0"/>
            </w:tcBorders>
            <w:vAlign w:val="center"/>
          </w:tcPr>
          <w:p>
            <w:pPr>
              <w:pStyle w:val="11"/>
              <w:ind w:left="103"/>
              <w:jc w:val="center"/>
              <w:rPr>
                <w:rFonts w:cs="宋体" w:asciiTheme="minorEastAsia" w:hAnsiTheme="minorEastAsia" w:eastAsiaTheme="minorEastAsia"/>
                <w:kern w:val="0"/>
                <w:lang w:bidi="ar"/>
              </w:rPr>
            </w:pPr>
          </w:p>
        </w:tc>
        <w:tc>
          <w:tcPr>
            <w:tcW w:w="974" w:type="dxa"/>
            <w:tcBorders>
              <w:top w:val="single" w:color="000000" w:sz="6" w:space="0"/>
              <w:left w:val="single" w:color="000000" w:sz="6" w:space="0"/>
              <w:bottom w:val="single" w:color="000000" w:sz="6"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p>
        </w:tc>
        <w:tc>
          <w:tcPr>
            <w:tcW w:w="892" w:type="dxa"/>
            <w:tcBorders>
              <w:top w:val="single" w:color="000000" w:sz="6" w:space="0"/>
              <w:left w:val="single" w:color="000000" w:sz="4" w:space="0"/>
              <w:bottom w:val="single" w:color="000000" w:sz="6" w:space="0"/>
              <w:right w:val="single" w:color="000000" w:sz="12" w:space="0"/>
            </w:tcBorders>
            <w:vAlign w:val="center"/>
          </w:tcPr>
          <w:p>
            <w:pPr>
              <w:pStyle w:val="11"/>
              <w:spacing w:before="143"/>
              <w:jc w:val="center"/>
              <w:rPr>
                <w:rFonts w:cs="宋体" w:asciiTheme="minorEastAsia" w:hAnsiTheme="minorEastAsia" w:eastAsiaTheme="minorEastAsia"/>
              </w:rPr>
            </w:pPr>
          </w:p>
        </w:tc>
      </w:tr>
      <w:tr>
        <w:tblPrEx>
          <w:tblCellMar>
            <w:top w:w="0" w:type="dxa"/>
            <w:left w:w="0" w:type="dxa"/>
            <w:bottom w:w="0" w:type="dxa"/>
            <w:right w:w="0" w:type="dxa"/>
          </w:tblCellMar>
        </w:tblPrEx>
        <w:trPr>
          <w:trHeight w:val="1418" w:hRule="exact"/>
        </w:trPr>
        <w:tc>
          <w:tcPr>
            <w:tcW w:w="1026" w:type="dxa"/>
            <w:tcBorders>
              <w:top w:val="single" w:color="000000" w:sz="6" w:space="0"/>
              <w:left w:val="single" w:color="000000" w:sz="12" w:space="0"/>
              <w:bottom w:val="single" w:color="000000" w:sz="12" w:space="0"/>
              <w:right w:val="single" w:color="000000" w:sz="6" w:space="0"/>
            </w:tcBorders>
            <w:vAlign w:val="center"/>
          </w:tcPr>
          <w:p>
            <w:pPr>
              <w:jc w:val="center"/>
              <w:rPr>
                <w:rFonts w:cs="仿宋" w:asciiTheme="minorEastAsia" w:hAnsiTheme="minorEastAsia"/>
                <w:lang w:bidi="ar"/>
              </w:rPr>
            </w:pPr>
          </w:p>
        </w:tc>
        <w:tc>
          <w:tcPr>
            <w:tcW w:w="1399" w:type="dxa"/>
            <w:tcBorders>
              <w:top w:val="single" w:color="000000" w:sz="6" w:space="0"/>
              <w:left w:val="single" w:color="000000" w:sz="6" w:space="0"/>
              <w:bottom w:val="single" w:color="000000" w:sz="12" w:space="0"/>
              <w:right w:val="single" w:color="000000" w:sz="6" w:space="0"/>
            </w:tcBorders>
            <w:vAlign w:val="center"/>
          </w:tcPr>
          <w:p>
            <w:pPr>
              <w:jc w:val="center"/>
              <w:rPr>
                <w:rFonts w:cs="仿宋" w:asciiTheme="minorEastAsia" w:hAnsiTheme="minorEastAsia"/>
                <w:lang w:bidi="ar"/>
              </w:rPr>
            </w:pPr>
          </w:p>
        </w:tc>
        <w:tc>
          <w:tcPr>
            <w:tcW w:w="4045" w:type="dxa"/>
            <w:tcBorders>
              <w:top w:val="single" w:color="000000" w:sz="6" w:space="0"/>
              <w:left w:val="single" w:color="000000" w:sz="6" w:space="0"/>
              <w:bottom w:val="single" w:color="000000" w:sz="12" w:space="0"/>
              <w:right w:val="single" w:color="000000" w:sz="6" w:space="0"/>
            </w:tcBorders>
            <w:vAlign w:val="center"/>
          </w:tcPr>
          <w:p>
            <w:pPr>
              <w:pStyle w:val="11"/>
              <w:ind w:left="103"/>
              <w:jc w:val="center"/>
              <w:rPr>
                <w:rFonts w:cs="宋体" w:asciiTheme="minorEastAsia" w:hAnsiTheme="minorEastAsia" w:eastAsiaTheme="minorEastAsia"/>
                <w:kern w:val="0"/>
                <w:lang w:bidi="ar"/>
              </w:rPr>
            </w:pPr>
          </w:p>
        </w:tc>
        <w:tc>
          <w:tcPr>
            <w:tcW w:w="974" w:type="dxa"/>
            <w:tcBorders>
              <w:top w:val="single" w:color="000000" w:sz="6" w:space="0"/>
              <w:left w:val="single" w:color="000000" w:sz="6" w:space="0"/>
              <w:bottom w:val="single" w:color="000000" w:sz="12" w:space="0"/>
              <w:right w:val="single" w:color="000000" w:sz="4" w:space="0"/>
            </w:tcBorders>
            <w:vAlign w:val="center"/>
          </w:tcPr>
          <w:p>
            <w:pPr>
              <w:pStyle w:val="11"/>
              <w:spacing w:before="143"/>
              <w:jc w:val="center"/>
              <w:rPr>
                <w:rFonts w:cs="宋体" w:asciiTheme="minorEastAsia" w:hAnsiTheme="minorEastAsia" w:eastAsiaTheme="minorEastAsia"/>
                <w:kern w:val="0"/>
                <w:lang w:bidi="ar"/>
              </w:rPr>
            </w:pPr>
          </w:p>
        </w:tc>
        <w:tc>
          <w:tcPr>
            <w:tcW w:w="892" w:type="dxa"/>
            <w:tcBorders>
              <w:top w:val="single" w:color="000000" w:sz="6" w:space="0"/>
              <w:left w:val="single" w:color="000000" w:sz="4" w:space="0"/>
              <w:bottom w:val="single" w:color="000000" w:sz="12" w:space="0"/>
              <w:right w:val="single" w:color="000000" w:sz="12" w:space="0"/>
            </w:tcBorders>
            <w:vAlign w:val="center"/>
          </w:tcPr>
          <w:p>
            <w:pPr>
              <w:pStyle w:val="11"/>
              <w:spacing w:before="143"/>
              <w:jc w:val="center"/>
              <w:rPr>
                <w:rFonts w:cs="宋体" w:asciiTheme="minorEastAsia" w:hAnsiTheme="minorEastAsia" w:eastAsiaTheme="minorEastAsia"/>
              </w:rPr>
            </w:pPr>
          </w:p>
        </w:tc>
      </w:tr>
    </w:tbl>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spacing w:line="214" w:lineRule="exact"/>
      </w:pPr>
    </w:p>
    <w:p>
      <w:pPr>
        <w:pStyle w:val="2"/>
      </w:pPr>
      <w:r>
        <w:rPr>
          <w:rFonts w:hint="eastAsia"/>
        </w:rPr>
        <w:t>第一部分 前言</w:t>
      </w:r>
    </w:p>
    <w:p>
      <w:pPr>
        <w:ind w:firstLine="480" w:firstLineChars="200"/>
        <w:rPr>
          <w:rFonts w:ascii="宋体" w:hAnsi="宋体"/>
        </w:rPr>
      </w:pPr>
      <w:r>
        <w:rPr>
          <w:rFonts w:hint="eastAsia" w:ascii="宋体" w:hAnsi="宋体"/>
        </w:rPr>
        <w:t>本系统部署方式为统一服务器部署，用户计算机上不需要安装本系统和任何特殊的软件，只要具备以下硬件和软件环境，通过浏览器输入指定的网址，就可使用本系统。</w:t>
      </w:r>
    </w:p>
    <w:p>
      <w:pPr>
        <w:pStyle w:val="3"/>
      </w:pPr>
      <w:bookmarkStart w:id="7" w:name="_Toc521334582"/>
      <w:bookmarkStart w:id="8" w:name="_Toc476043563"/>
      <w:bookmarkStart w:id="9" w:name="_Toc477787265"/>
      <w:bookmarkStart w:id="10" w:name="_Toc478474650"/>
      <w:bookmarkStart w:id="11" w:name="_Toc478474698"/>
      <w:bookmarkStart w:id="12" w:name="_Toc508986497"/>
      <w:bookmarkStart w:id="13" w:name="_Toc478716931"/>
      <w:r>
        <w:rPr>
          <w:rFonts w:hint="eastAsia"/>
        </w:rPr>
        <w:t>1.1  用户计算机硬件要求</w:t>
      </w:r>
      <w:bookmarkEnd w:id="7"/>
      <w:bookmarkEnd w:id="8"/>
      <w:bookmarkEnd w:id="9"/>
      <w:bookmarkEnd w:id="10"/>
      <w:bookmarkEnd w:id="11"/>
      <w:bookmarkEnd w:id="12"/>
      <w:bookmarkEnd w:id="13"/>
    </w:p>
    <w:p>
      <w:pPr>
        <w:rPr>
          <w:rFonts w:ascii="宋体" w:hAnsi="宋体"/>
        </w:rPr>
      </w:pPr>
      <w:r>
        <w:rPr>
          <w:rFonts w:hint="eastAsia" w:ascii="宋体" w:hAnsi="宋体"/>
        </w:rPr>
        <w:t xml:space="preserve">CPU： </w:t>
      </w:r>
      <w:r>
        <w:rPr>
          <w:rFonts w:ascii="宋体" w:hAnsi="宋体"/>
        </w:rPr>
        <w:t>1.5</w:t>
      </w:r>
      <w:r>
        <w:rPr>
          <w:rFonts w:hint="eastAsia" w:ascii="宋体" w:hAnsi="宋体"/>
        </w:rPr>
        <w:t>G 以上</w:t>
      </w:r>
    </w:p>
    <w:p>
      <w:pPr>
        <w:rPr>
          <w:rFonts w:ascii="宋体" w:hAnsi="宋体"/>
        </w:rPr>
      </w:pPr>
      <w:r>
        <w:rPr>
          <w:rFonts w:hint="eastAsia" w:ascii="宋体" w:hAnsi="宋体"/>
        </w:rPr>
        <w:t>内存：</w:t>
      </w:r>
      <w:r>
        <w:rPr>
          <w:rFonts w:ascii="宋体" w:hAnsi="宋体"/>
        </w:rPr>
        <w:t>2G</w:t>
      </w:r>
      <w:r>
        <w:rPr>
          <w:rFonts w:hint="eastAsia" w:ascii="宋体" w:hAnsi="宋体"/>
        </w:rPr>
        <w:t xml:space="preserve"> 以上</w:t>
      </w:r>
    </w:p>
    <w:p>
      <w:pPr>
        <w:rPr>
          <w:rFonts w:ascii="宋体" w:hAnsi="宋体"/>
        </w:rPr>
      </w:pPr>
      <w:r>
        <w:rPr>
          <w:rFonts w:hint="eastAsia" w:ascii="宋体" w:hAnsi="宋体"/>
        </w:rPr>
        <w:t>硬盘：2</w:t>
      </w:r>
      <w:r>
        <w:rPr>
          <w:rFonts w:ascii="宋体" w:hAnsi="宋体"/>
        </w:rPr>
        <w:t>0</w:t>
      </w:r>
      <w:r>
        <w:rPr>
          <w:rFonts w:hint="eastAsia" w:ascii="宋体" w:hAnsi="宋体"/>
        </w:rPr>
        <w:t>0G 以上</w:t>
      </w:r>
    </w:p>
    <w:p>
      <w:pPr>
        <w:rPr>
          <w:rFonts w:ascii="宋体" w:hAnsi="宋体"/>
        </w:rPr>
      </w:pPr>
      <w:r>
        <w:rPr>
          <w:rFonts w:hint="eastAsia" w:ascii="宋体" w:hAnsi="宋体"/>
        </w:rPr>
        <w:t>分辨率：1</w:t>
      </w:r>
      <w:r>
        <w:rPr>
          <w:rFonts w:ascii="宋体" w:hAnsi="宋体"/>
        </w:rPr>
        <w:t>280</w:t>
      </w:r>
      <w:r>
        <w:rPr>
          <w:rFonts w:hint="eastAsia" w:ascii="宋体" w:hAnsi="宋体"/>
        </w:rPr>
        <w:t>×</w:t>
      </w:r>
      <w:r>
        <w:rPr>
          <w:rFonts w:ascii="宋体" w:hAnsi="宋体"/>
        </w:rPr>
        <w:t>1024</w:t>
      </w:r>
      <w:r>
        <w:rPr>
          <w:rFonts w:hint="eastAsia" w:ascii="宋体" w:hAnsi="宋体"/>
        </w:rPr>
        <w:t xml:space="preserve"> 或以上</w:t>
      </w:r>
    </w:p>
    <w:p>
      <w:pPr>
        <w:rPr>
          <w:rFonts w:ascii="宋体" w:hAnsi="宋体"/>
        </w:rPr>
      </w:pPr>
      <w:r>
        <w:rPr>
          <w:rFonts w:hint="eastAsia" w:ascii="宋体" w:hAnsi="宋体"/>
        </w:rPr>
        <w:t>打印机：建议 A4 激光打印机</w:t>
      </w:r>
    </w:p>
    <w:p>
      <w:pPr>
        <w:rPr>
          <w:rFonts w:ascii="宋体" w:hAnsi="宋体"/>
        </w:rPr>
      </w:pPr>
      <w:r>
        <w:rPr>
          <w:rFonts w:hint="eastAsia" w:ascii="宋体" w:hAnsi="宋体"/>
        </w:rPr>
        <w:t>上网设备：拨号、 ISDN、 ADSL、宽带局域网、专线。</w:t>
      </w:r>
    </w:p>
    <w:p>
      <w:pPr>
        <w:pStyle w:val="3"/>
      </w:pPr>
      <w:bookmarkStart w:id="14" w:name="_Toc478716932"/>
      <w:bookmarkStart w:id="15" w:name="_Toc521334583"/>
      <w:bookmarkStart w:id="16" w:name="_Toc478474651"/>
      <w:bookmarkStart w:id="17" w:name="_Toc477787266"/>
      <w:bookmarkStart w:id="18" w:name="_Toc508986498"/>
      <w:bookmarkStart w:id="19" w:name="_Toc476043564"/>
      <w:bookmarkStart w:id="20" w:name="_Toc478474699"/>
      <w:r>
        <w:rPr>
          <w:rFonts w:hint="eastAsia"/>
        </w:rPr>
        <w:t>1.2  用户计算机软件要求</w:t>
      </w:r>
      <w:bookmarkEnd w:id="14"/>
      <w:bookmarkEnd w:id="15"/>
      <w:bookmarkEnd w:id="16"/>
      <w:bookmarkEnd w:id="17"/>
      <w:bookmarkEnd w:id="18"/>
      <w:bookmarkEnd w:id="19"/>
      <w:bookmarkEnd w:id="20"/>
    </w:p>
    <w:p>
      <w:pPr>
        <w:rPr>
          <w:rFonts w:ascii="宋体" w:hAnsi="宋体"/>
        </w:rPr>
      </w:pPr>
      <w:r>
        <w:rPr>
          <w:rFonts w:hint="eastAsia" w:ascii="宋体" w:hAnsi="宋体"/>
        </w:rPr>
        <w:t>操作系统：Windows 7、Win8、Win10</w:t>
      </w:r>
    </w:p>
    <w:p>
      <w:pPr>
        <w:rPr>
          <w:rFonts w:ascii="宋体" w:hAnsi="宋体"/>
        </w:rPr>
      </w:pPr>
      <w:r>
        <w:rPr>
          <w:rFonts w:hint="eastAsia" w:ascii="宋体" w:hAnsi="宋体"/>
        </w:rPr>
        <w:t>支持软件：Office 200</w:t>
      </w:r>
      <w:r>
        <w:rPr>
          <w:rFonts w:ascii="宋体" w:hAnsi="宋体"/>
        </w:rPr>
        <w:t>7</w:t>
      </w:r>
      <w:r>
        <w:rPr>
          <w:rFonts w:hint="eastAsia" w:ascii="宋体" w:hAnsi="宋体"/>
        </w:rPr>
        <w:t xml:space="preserve"> 或以上版本</w:t>
      </w:r>
    </w:p>
    <w:p>
      <w:pPr>
        <w:rPr>
          <w:rFonts w:ascii="宋体" w:hAnsi="宋体"/>
        </w:rPr>
      </w:pPr>
      <w:r>
        <w:rPr>
          <w:rFonts w:hint="eastAsia" w:ascii="宋体" w:hAnsi="宋体"/>
        </w:rPr>
        <w:t>浏览器要求：本系统不支持IE系列浏览器，需要使用带有极速模式的浏览器，</w:t>
      </w:r>
      <w:r>
        <w:rPr>
          <w:rFonts w:hint="eastAsia" w:ascii="宋体" w:hAnsi="宋体"/>
          <w:b/>
        </w:rPr>
        <w:t>推荐使用360安全浏览器</w:t>
      </w:r>
      <w:r>
        <w:rPr>
          <w:rFonts w:hint="eastAsia" w:ascii="宋体" w:hAnsi="宋体"/>
        </w:rPr>
        <w:t>，并在</w:t>
      </w:r>
      <w:r>
        <w:rPr>
          <w:rFonts w:hint="eastAsia" w:ascii="宋体" w:hAnsi="宋体"/>
          <w:b/>
        </w:rPr>
        <w:t>极速模式</w:t>
      </w:r>
      <w:r>
        <w:rPr>
          <w:rFonts w:hint="eastAsia" w:ascii="宋体" w:hAnsi="宋体"/>
        </w:rPr>
        <w:t>下使用。</w:t>
      </w:r>
    </w:p>
    <w:p>
      <w:pPr>
        <w:rPr>
          <w:rFonts w:ascii="宋体" w:hAnsi="宋体"/>
        </w:rPr>
      </w:pPr>
      <w:r>
        <w:rPr>
          <w:rFonts w:hint="eastAsia" w:ascii="宋体" w:hAnsi="宋体"/>
        </w:rPr>
        <w:t>极速模式切换方法如下图所示：</w:t>
      </w:r>
    </w:p>
    <w:p>
      <w:pPr>
        <w:rPr>
          <w:rFonts w:ascii="宋体" w:hAnsi="宋体"/>
        </w:rPr>
      </w:pPr>
      <w:r>
        <w:rPr>
          <w:rFonts w:hint="eastAsia" w:ascii="宋体" w:hAnsi="宋体"/>
        </w:rPr>
        <w:drawing>
          <wp:inline distT="0" distB="0" distL="114300" distR="114300">
            <wp:extent cx="5269230" cy="525780"/>
            <wp:effectExtent l="19050" t="19050" r="26670" b="26670"/>
            <wp:docPr id="1" name="图片 1" descr="极限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极限A"/>
                    <pic:cNvPicPr>
                      <a:picLocks noChangeAspect="1"/>
                    </pic:cNvPicPr>
                  </pic:nvPicPr>
                  <pic:blipFill>
                    <a:blip r:embed="rId7"/>
                    <a:stretch>
                      <a:fillRect/>
                    </a:stretch>
                  </pic:blipFill>
                  <pic:spPr>
                    <a:xfrm>
                      <a:off x="0" y="0"/>
                      <a:ext cx="5269230" cy="525780"/>
                    </a:xfrm>
                    <a:prstGeom prst="rect">
                      <a:avLst/>
                    </a:prstGeom>
                    <a:noFill/>
                    <a:ln w="6350">
                      <a:solidFill>
                        <a:schemeClr val="tx1"/>
                      </a:solidFill>
                    </a:ln>
                  </pic:spPr>
                </pic:pic>
              </a:graphicData>
            </a:graphic>
          </wp:inline>
        </w:drawing>
      </w:r>
    </w:p>
    <w:p>
      <w:pPr>
        <w:pStyle w:val="3"/>
      </w:pPr>
      <w:r>
        <w:rPr>
          <w:rFonts w:hint="eastAsia"/>
        </w:rPr>
        <w:t>1.3  其他说明</w:t>
      </w:r>
    </w:p>
    <w:p>
      <w:pPr>
        <w:rPr>
          <w:rFonts w:ascii="宋体" w:hAnsi="宋体"/>
        </w:rPr>
      </w:pPr>
      <w:r>
        <w:rPr>
          <w:rFonts w:hint="eastAsia" w:ascii="宋体" w:hAnsi="宋体"/>
        </w:rPr>
        <w:t>1、以下系统模块中的输入项前带“</w:t>
      </w:r>
      <w:r>
        <w:rPr>
          <w:rFonts w:hint="eastAsia" w:ascii="宋体" w:hAnsi="宋体"/>
          <w:color w:val="FF0000"/>
        </w:rPr>
        <w:t>*</w:t>
      </w:r>
      <w:r>
        <w:rPr>
          <w:rFonts w:hint="eastAsia" w:ascii="宋体" w:hAnsi="宋体"/>
        </w:rPr>
        <w:t>”为必填项；</w:t>
      </w:r>
    </w:p>
    <w:p>
      <w:pPr>
        <w:rPr>
          <w:rFonts w:ascii="宋体" w:hAnsi="宋体"/>
        </w:rPr>
      </w:pPr>
      <w:r>
        <w:rPr>
          <w:rFonts w:hint="eastAsia" w:ascii="宋体" w:hAnsi="宋体"/>
        </w:rPr>
        <w:t>2、以下出现的操作界面截图为演示数据，非正式数据；</w:t>
      </w:r>
    </w:p>
    <w:p>
      <w:pPr>
        <w:pStyle w:val="2"/>
      </w:pPr>
      <w:r>
        <w:rPr>
          <w:rFonts w:hint="eastAsia"/>
        </w:rPr>
        <w:t>第二部分 系统登录</w:t>
      </w:r>
    </w:p>
    <w:p>
      <w:pPr>
        <w:pStyle w:val="3"/>
      </w:pPr>
      <w:bookmarkStart w:id="21" w:name="_Toc508986502"/>
      <w:bookmarkStart w:id="22" w:name="_Toc521334587"/>
      <w:r>
        <w:rPr>
          <w:rFonts w:hint="eastAsia"/>
        </w:rPr>
        <w:t>2.1  登录系统</w:t>
      </w:r>
      <w:bookmarkEnd w:id="21"/>
      <w:bookmarkEnd w:id="22"/>
    </w:p>
    <w:p>
      <w:r>
        <w:rPr>
          <w:rFonts w:hint="eastAsia"/>
        </w:rPr>
        <w:t>系统登录地址：http</w:t>
      </w:r>
      <w:r>
        <w:rPr>
          <w:rFonts w:hint="eastAsia"/>
          <w:color w:val="FF0000"/>
        </w:rPr>
        <w:t>:</w:t>
      </w:r>
      <w:r>
        <w:rPr>
          <w:rFonts w:hint="eastAsia"/>
        </w:rPr>
        <w:t>//</w:t>
      </w:r>
      <w:r>
        <w:rPr>
          <w:rFonts w:hint="eastAsia"/>
          <w:lang w:val="en-US" w:eastAsia="zh-CN"/>
        </w:rPr>
        <w:t>183.71.238.235:20000</w:t>
      </w:r>
      <w:bookmarkStart w:id="28" w:name="_GoBack"/>
      <w:bookmarkEnd w:id="28"/>
      <w:r>
        <w:rPr>
          <w:rFonts w:hint="eastAsia"/>
        </w:rPr>
        <w:t>/</w:t>
      </w:r>
    </w:p>
    <w:p>
      <w:pPr>
        <w:rPr>
          <w:rFonts w:ascii="宋体" w:hAnsi="宋体"/>
          <w:szCs w:val="21"/>
        </w:rPr>
      </w:pPr>
      <w:r>
        <w:rPr>
          <w:rFonts w:hint="eastAsia" w:ascii="宋体" w:hAnsi="宋体"/>
          <w:szCs w:val="21"/>
        </w:rPr>
        <w:t>1、</w:t>
      </w:r>
      <w:r>
        <w:rPr>
          <w:rFonts w:hint="eastAsia" w:ascii="宋体" w:hAnsi="宋体"/>
          <w:color w:val="FF0000"/>
          <w:szCs w:val="21"/>
        </w:rPr>
        <w:t xml:space="preserve"> </w:t>
      </w:r>
      <w:r>
        <w:rPr>
          <w:rFonts w:hint="eastAsia" w:ascii="宋体" w:hAnsi="宋体"/>
          <w:szCs w:val="21"/>
        </w:rPr>
        <w:t>系统登录界面如下图所示：</w:t>
      </w:r>
    </w:p>
    <w:p>
      <w:r>
        <w:drawing>
          <wp:inline distT="0" distB="0" distL="0" distR="0">
            <wp:extent cx="5274310" cy="2698750"/>
            <wp:effectExtent l="19050" t="19050" r="21590" b="254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698811"/>
                    </a:xfrm>
                    <a:prstGeom prst="rect">
                      <a:avLst/>
                    </a:prstGeom>
                    <a:noFill/>
                    <a:ln w="0" cmpd="sng">
                      <a:solidFill>
                        <a:schemeClr val="tx1"/>
                      </a:solidFill>
                      <a:prstDash val="solid"/>
                    </a:ln>
                  </pic:spPr>
                </pic:pic>
              </a:graphicData>
            </a:graphic>
          </wp:inline>
        </w:drawing>
      </w:r>
    </w:p>
    <w:p>
      <w:pPr>
        <w:numPr>
          <w:ilvl w:val="0"/>
          <w:numId w:val="1"/>
        </w:numPr>
        <w:rPr>
          <w:rFonts w:ascii="宋体" w:hAnsi="宋体"/>
          <w:szCs w:val="21"/>
        </w:rPr>
      </w:pPr>
      <w:r>
        <w:rPr>
          <w:rFonts w:hint="eastAsia" w:ascii="宋体" w:hAnsi="宋体"/>
          <w:szCs w:val="21"/>
        </w:rPr>
        <w:t>登录成功之后，进入操作系统界面，显示如下：</w:t>
      </w:r>
    </w:p>
    <w:p>
      <w:pPr>
        <w:rPr>
          <w:rFonts w:ascii="宋体" w:hAnsi="宋体"/>
          <w:szCs w:val="21"/>
        </w:rPr>
      </w:pPr>
      <w:r>
        <w:drawing>
          <wp:inline distT="0" distB="0" distL="114300" distR="114300">
            <wp:extent cx="5271135" cy="1360805"/>
            <wp:effectExtent l="0" t="0" r="19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1135" cy="1360805"/>
                    </a:xfrm>
                    <a:prstGeom prst="rect">
                      <a:avLst/>
                    </a:prstGeom>
                    <a:noFill/>
                    <a:ln>
                      <a:noFill/>
                    </a:ln>
                  </pic:spPr>
                </pic:pic>
              </a:graphicData>
            </a:graphic>
          </wp:inline>
        </w:drawing>
      </w:r>
    </w:p>
    <w:p>
      <w:pPr>
        <w:pStyle w:val="3"/>
      </w:pPr>
      <w:bookmarkStart w:id="23" w:name="_Toc508986503"/>
      <w:bookmarkStart w:id="24" w:name="_Toc521334588"/>
      <w:r>
        <w:rPr>
          <w:rFonts w:hint="eastAsia"/>
        </w:rPr>
        <w:t xml:space="preserve">2.2 </w:t>
      </w:r>
      <w:bookmarkEnd w:id="23"/>
      <w:bookmarkStart w:id="25" w:name="_Toc511483106"/>
      <w:r>
        <w:rPr>
          <w:rFonts w:hint="eastAsia"/>
        </w:rPr>
        <w:t xml:space="preserve"> 修改密码</w:t>
      </w:r>
      <w:bookmarkEnd w:id="24"/>
      <w:bookmarkEnd w:id="25"/>
    </w:p>
    <w:p>
      <w:pPr>
        <w:rPr>
          <w:rFonts w:ascii="宋体" w:hAnsi="宋体"/>
          <w:szCs w:val="21"/>
        </w:rPr>
      </w:pPr>
      <w:r>
        <w:rPr>
          <w:rFonts w:hint="eastAsia" w:ascii="宋体" w:hAnsi="宋体"/>
          <w:szCs w:val="21"/>
        </w:rPr>
        <w:t>1、登录系统后点击右上角[修改密码]：</w:t>
      </w:r>
    </w:p>
    <w:p>
      <w:pPr>
        <w:jc w:val="center"/>
      </w:pPr>
      <w:r>
        <w:drawing>
          <wp:inline distT="0" distB="0" distL="114300" distR="114300">
            <wp:extent cx="3802380" cy="104394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3802380" cy="1043940"/>
                    </a:xfrm>
                    <a:prstGeom prst="rect">
                      <a:avLst/>
                    </a:prstGeom>
                    <a:noFill/>
                    <a:ln>
                      <a:noFill/>
                    </a:ln>
                  </pic:spPr>
                </pic:pic>
              </a:graphicData>
            </a:graphic>
          </wp:inline>
        </w:drawing>
      </w:r>
    </w:p>
    <w:p>
      <w:pPr>
        <w:rPr>
          <w:rFonts w:ascii="宋体" w:hAnsi="宋体"/>
          <w:szCs w:val="21"/>
        </w:rPr>
      </w:pPr>
      <w:r>
        <w:rPr>
          <w:rFonts w:hint="eastAsia" w:ascii="宋体" w:hAnsi="宋体"/>
          <w:szCs w:val="21"/>
        </w:rPr>
        <w:t>2、弹出密码修改框，如下图：</w:t>
      </w:r>
    </w:p>
    <w:p>
      <w:pPr>
        <w:jc w:val="center"/>
      </w:pPr>
      <w:r>
        <w:drawing>
          <wp:inline distT="0" distB="0" distL="114300" distR="114300">
            <wp:extent cx="4147185" cy="1667510"/>
            <wp:effectExtent l="9525" t="9525" r="15240"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4147185" cy="1667510"/>
                    </a:xfrm>
                    <a:prstGeom prst="rect">
                      <a:avLst/>
                    </a:prstGeom>
                    <a:noFill/>
                    <a:ln w="0">
                      <a:solidFill>
                        <a:schemeClr val="tx1"/>
                      </a:solidFill>
                    </a:ln>
                  </pic:spPr>
                </pic:pic>
              </a:graphicData>
            </a:graphic>
          </wp:inline>
        </w:drawing>
      </w:r>
    </w:p>
    <w:p>
      <w:pPr>
        <w:pStyle w:val="3"/>
      </w:pPr>
      <w:bookmarkStart w:id="26" w:name="_Toc508986504"/>
      <w:bookmarkStart w:id="27" w:name="_Toc521334589"/>
      <w:r>
        <w:rPr>
          <w:rFonts w:hint="eastAsia"/>
        </w:rPr>
        <w:t>2.3  重新登录</w:t>
      </w:r>
      <w:bookmarkEnd w:id="26"/>
      <w:bookmarkEnd w:id="27"/>
    </w:p>
    <w:p>
      <w:pPr>
        <w:ind w:firstLine="420"/>
        <w:jc w:val="left"/>
        <w:rPr>
          <w:rFonts w:ascii="宋体" w:hAnsi="宋体"/>
          <w:szCs w:val="21"/>
        </w:rPr>
      </w:pPr>
      <w:r>
        <w:rPr>
          <w:rFonts w:hint="eastAsia" w:ascii="宋体" w:hAnsi="宋体"/>
          <w:szCs w:val="21"/>
        </w:rPr>
        <w:t>点击右上角[重新登录]，退出当前用户操作界面，返回登录界面，重新登录。</w:t>
      </w:r>
    </w:p>
    <w:p>
      <w:pPr>
        <w:ind w:firstLine="420"/>
        <w:jc w:val="center"/>
      </w:pPr>
      <w:r>
        <w:drawing>
          <wp:inline distT="0" distB="0" distL="114300" distR="114300">
            <wp:extent cx="3703320" cy="967740"/>
            <wp:effectExtent l="0" t="0" r="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3703320" cy="967740"/>
                    </a:xfrm>
                    <a:prstGeom prst="rect">
                      <a:avLst/>
                    </a:prstGeom>
                    <a:noFill/>
                    <a:ln>
                      <a:noFill/>
                    </a:ln>
                  </pic:spPr>
                </pic:pic>
              </a:graphicData>
            </a:graphic>
          </wp:inline>
        </w:drawing>
      </w:r>
    </w:p>
    <w:p>
      <w:pPr>
        <w:pStyle w:val="3"/>
      </w:pPr>
      <w:r>
        <w:rPr>
          <w:rFonts w:hint="eastAsia"/>
        </w:rPr>
        <w:t>2.4 功能菜单</w:t>
      </w:r>
    </w:p>
    <w:p>
      <w:pPr>
        <w:rPr>
          <w:rFonts w:ascii="宋体" w:hAnsi="宋体"/>
        </w:rPr>
      </w:pPr>
      <w:r>
        <w:rPr>
          <w:rFonts w:hint="eastAsia" w:ascii="宋体" w:hAnsi="宋体"/>
        </w:rPr>
        <w:t>1、登录系统后点击菜单【职业病危害因素监测】，进入主菜单</w:t>
      </w:r>
    </w:p>
    <w:p>
      <w:pPr>
        <w:rPr>
          <w:rFonts w:ascii="宋体" w:hAnsi="宋体"/>
        </w:rPr>
      </w:pPr>
      <w:r>
        <w:drawing>
          <wp:inline distT="0" distB="0" distL="114300" distR="114300">
            <wp:extent cx="5266690" cy="1539240"/>
            <wp:effectExtent l="0" t="0" r="635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266690" cy="1539240"/>
                    </a:xfrm>
                    <a:prstGeom prst="rect">
                      <a:avLst/>
                    </a:prstGeom>
                    <a:noFill/>
                    <a:ln>
                      <a:noFill/>
                    </a:ln>
                  </pic:spPr>
                </pic:pic>
              </a:graphicData>
            </a:graphic>
          </wp:inline>
        </w:drawing>
      </w:r>
    </w:p>
    <w:p>
      <w:pPr>
        <w:numPr>
          <w:ilvl w:val="0"/>
          <w:numId w:val="1"/>
        </w:numPr>
        <w:rPr>
          <w:rFonts w:ascii="宋体" w:hAnsi="宋体"/>
        </w:rPr>
      </w:pPr>
      <w:r>
        <w:rPr>
          <w:rFonts w:hint="eastAsia" w:ascii="宋体" w:hAnsi="宋体"/>
        </w:rPr>
        <w:t>主菜单下新增五个子菜单：【检测能力管理】、【合同及任务管理】、【现场调查】、【样品管理】、【检测报告】【报表参数配置】，如下图所示：</w:t>
      </w:r>
    </w:p>
    <w:p>
      <w:r>
        <w:drawing>
          <wp:inline distT="0" distB="0" distL="114300" distR="114300">
            <wp:extent cx="5266690" cy="2172970"/>
            <wp:effectExtent l="0" t="0" r="635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66690" cy="2172970"/>
                    </a:xfrm>
                    <a:prstGeom prst="rect">
                      <a:avLst/>
                    </a:prstGeom>
                    <a:noFill/>
                    <a:ln>
                      <a:noFill/>
                    </a:ln>
                  </pic:spPr>
                </pic:pic>
              </a:graphicData>
            </a:graphic>
          </wp:inline>
        </w:drawing>
      </w:r>
    </w:p>
    <w:p>
      <w:pPr>
        <w:pStyle w:val="2"/>
      </w:pPr>
      <w:r>
        <w:rPr>
          <w:rFonts w:hint="eastAsia"/>
        </w:rPr>
        <w:t>第三部分 检测能力管理</w:t>
      </w:r>
    </w:p>
    <w:p>
      <w:pPr>
        <w:pStyle w:val="3"/>
      </w:pPr>
      <w:r>
        <w:rPr>
          <w:rFonts w:hint="eastAsia"/>
        </w:rPr>
        <w:t>3.1 功能说明</w:t>
      </w:r>
    </w:p>
    <w:p>
      <w:r>
        <w:rPr>
          <w:rFonts w:hint="eastAsia"/>
        </w:rPr>
        <w:t xml:space="preserve">     功能说明：用于职业卫生技术服务机构维护本单位能够提供服务的检测项目能力信息</w:t>
      </w:r>
    </w:p>
    <w:p>
      <w:pPr>
        <w:pStyle w:val="3"/>
      </w:pPr>
      <w:r>
        <w:rPr>
          <w:rFonts w:hint="eastAsia"/>
        </w:rPr>
        <w:t>3.2 操作说明</w:t>
      </w:r>
    </w:p>
    <w:p>
      <w:pPr>
        <w:ind w:firstLine="420"/>
      </w:pPr>
      <w:r>
        <w:rPr>
          <w:rFonts w:hint="eastAsia"/>
        </w:rPr>
        <w:t>职业卫生技术服务机构账户登录系统后点击【检测能力管理】进入操作界面。</w:t>
      </w:r>
    </w:p>
    <w:p>
      <w:pPr>
        <w:ind w:firstLine="420"/>
        <w:jc w:val="center"/>
      </w:pPr>
      <w:r>
        <w:drawing>
          <wp:inline distT="0" distB="0" distL="114300" distR="114300">
            <wp:extent cx="5273675" cy="1710055"/>
            <wp:effectExtent l="0" t="0" r="14605"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5273675" cy="1710055"/>
                    </a:xfrm>
                    <a:prstGeom prst="rect">
                      <a:avLst/>
                    </a:prstGeom>
                    <a:noFill/>
                    <a:ln>
                      <a:noFill/>
                    </a:ln>
                  </pic:spPr>
                </pic:pic>
              </a:graphicData>
            </a:graphic>
          </wp:inline>
        </w:drawing>
      </w:r>
    </w:p>
    <w:p>
      <w:pPr>
        <w:pStyle w:val="3"/>
      </w:pPr>
      <w:r>
        <w:rPr>
          <w:rFonts w:hint="eastAsia"/>
        </w:rPr>
        <w:t>3.3 主页面</w:t>
      </w:r>
    </w:p>
    <w:p>
      <w:r>
        <w:rPr>
          <w:rFonts w:hint="eastAsia"/>
        </w:rPr>
        <w:t>1、主界面显示如下图：</w:t>
      </w:r>
    </w:p>
    <w:p>
      <w:pPr>
        <w:jc w:val="center"/>
      </w:pPr>
      <w:r>
        <w:drawing>
          <wp:inline distT="0" distB="0" distL="0" distR="0">
            <wp:extent cx="5274310" cy="1464945"/>
            <wp:effectExtent l="19050" t="19050" r="21590" b="209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1465086"/>
                    </a:xfrm>
                    <a:prstGeom prst="rect">
                      <a:avLst/>
                    </a:prstGeom>
                    <a:ln w="6350">
                      <a:solidFill>
                        <a:schemeClr val="tx1"/>
                      </a:solidFill>
                    </a:ln>
                  </pic:spPr>
                </pic:pic>
              </a:graphicData>
            </a:graphic>
          </wp:inline>
        </w:drawing>
      </w:r>
    </w:p>
    <w:p>
      <w:pPr>
        <w:numPr>
          <w:ilvl w:val="0"/>
          <w:numId w:val="2"/>
        </w:numPr>
      </w:pPr>
      <w:r>
        <w:rPr>
          <w:rFonts w:hint="eastAsia"/>
        </w:rPr>
        <w:t>操作按钮说明</w:t>
      </w:r>
    </w:p>
    <w:p>
      <w:pPr>
        <w:pStyle w:val="22"/>
        <w:numPr>
          <w:ilvl w:val="0"/>
          <w:numId w:val="3"/>
        </w:numPr>
        <w:ind w:firstLineChars="0"/>
      </w:pPr>
      <w:r>
        <w:rPr>
          <w:rFonts w:hint="eastAsia"/>
        </w:rPr>
        <w:t>查询：根据查询条件显示本机构能够提供服务的检测项目能力信息</w:t>
      </w:r>
    </w:p>
    <w:p>
      <w:pPr>
        <w:pStyle w:val="22"/>
        <w:numPr>
          <w:ilvl w:val="0"/>
          <w:numId w:val="3"/>
        </w:numPr>
        <w:ind w:firstLineChars="0"/>
      </w:pPr>
      <w:r>
        <w:rPr>
          <w:rFonts w:hint="eastAsia"/>
        </w:rPr>
        <w:t>添加：添加本机构能够提供服务的检测项目能力信息</w:t>
      </w:r>
    </w:p>
    <w:p>
      <w:r>
        <w:rPr>
          <w:rFonts w:hint="eastAsia"/>
        </w:rPr>
        <w:t>3、查询条件说明</w:t>
      </w:r>
    </w:p>
    <w:p>
      <w:pPr>
        <w:pStyle w:val="22"/>
        <w:numPr>
          <w:ilvl w:val="0"/>
          <w:numId w:val="3"/>
        </w:numPr>
        <w:ind w:firstLineChars="0"/>
      </w:pPr>
      <w:r>
        <w:rPr>
          <w:rFonts w:hint="eastAsia"/>
        </w:rPr>
        <w:t>检测项目名称：可按照检测项目名称模糊查询</w:t>
      </w:r>
    </w:p>
    <w:p>
      <w:pPr>
        <w:pStyle w:val="22"/>
        <w:numPr>
          <w:ilvl w:val="0"/>
          <w:numId w:val="3"/>
        </w:numPr>
        <w:ind w:firstLineChars="0"/>
      </w:pPr>
      <w:r>
        <w:rPr>
          <w:rFonts w:hint="eastAsia"/>
        </w:rPr>
        <w:t>检测方法：可按照检测方法模糊查询</w:t>
      </w:r>
    </w:p>
    <w:p>
      <w:pPr>
        <w:pStyle w:val="22"/>
        <w:numPr>
          <w:ilvl w:val="0"/>
          <w:numId w:val="3"/>
        </w:numPr>
        <w:ind w:firstLineChars="0"/>
      </w:pPr>
      <w:r>
        <w:rPr>
          <w:rFonts w:hint="eastAsia"/>
        </w:rPr>
        <w:t>状态：默认勾选“启用”，可按照状态查询</w:t>
      </w:r>
    </w:p>
    <w:p>
      <w:r>
        <w:rPr>
          <w:rFonts w:hint="eastAsia"/>
        </w:rPr>
        <w:t>4、查询结果说明</w:t>
      </w:r>
    </w:p>
    <w:p>
      <w:pPr>
        <w:pStyle w:val="22"/>
        <w:numPr>
          <w:ilvl w:val="0"/>
          <w:numId w:val="3"/>
        </w:numPr>
        <w:ind w:firstLineChars="0"/>
      </w:pPr>
      <w:r>
        <w:rPr>
          <w:rFonts w:hint="eastAsia"/>
        </w:rPr>
        <w:t>显示列包含：检测项目名称、检测依据、检测方法、实验室认可标记、资质认定标记、外包标记、状态、操作（修改、停用/启用、删除）</w:t>
      </w:r>
    </w:p>
    <w:p>
      <w:pPr>
        <w:pStyle w:val="3"/>
      </w:pPr>
      <w:r>
        <w:rPr>
          <w:rFonts w:hint="eastAsia"/>
        </w:rPr>
        <w:t>3.4 添加/修改</w:t>
      </w:r>
    </w:p>
    <w:p>
      <w:r>
        <w:rPr>
          <w:rFonts w:hint="eastAsia"/>
        </w:rPr>
        <w:t>1、点击[添加]进入维护检测项目界面</w:t>
      </w:r>
    </w:p>
    <w:p>
      <w:pPr>
        <w:jc w:val="center"/>
      </w:pPr>
      <w:r>
        <w:drawing>
          <wp:inline distT="0" distB="0" distL="114300" distR="114300">
            <wp:extent cx="5267960" cy="2414270"/>
            <wp:effectExtent l="0" t="0" r="5080" b="889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5267960" cy="2414270"/>
                    </a:xfrm>
                    <a:prstGeom prst="rect">
                      <a:avLst/>
                    </a:prstGeom>
                    <a:noFill/>
                    <a:ln>
                      <a:noFill/>
                    </a:ln>
                  </pic:spPr>
                </pic:pic>
              </a:graphicData>
            </a:graphic>
          </wp:inline>
        </w:drawing>
      </w:r>
    </w:p>
    <w:p>
      <w:r>
        <w:rPr>
          <w:rFonts w:hint="eastAsia"/>
        </w:rPr>
        <w:t>2、信息点说明</w:t>
      </w:r>
    </w:p>
    <w:p>
      <w:pPr>
        <w:pStyle w:val="22"/>
        <w:numPr>
          <w:ilvl w:val="0"/>
          <w:numId w:val="3"/>
        </w:numPr>
        <w:ind w:firstLineChars="0"/>
      </w:pPr>
      <w:r>
        <w:rPr>
          <w:rFonts w:hint="eastAsia"/>
        </w:rPr>
        <w:t>检测项目名称：必填，点击显示检测项目选择弹出框</w:t>
      </w:r>
    </w:p>
    <w:p>
      <w:pPr>
        <w:pStyle w:val="22"/>
        <w:numPr>
          <w:ilvl w:val="0"/>
          <w:numId w:val="3"/>
        </w:numPr>
        <w:ind w:firstLineChars="0"/>
      </w:pPr>
      <w:r>
        <w:rPr>
          <w:rFonts w:hint="eastAsia"/>
        </w:rPr>
        <w:t>检测依据：必填，点击显示所有职业卫生标准的法律法规</w:t>
      </w:r>
    </w:p>
    <w:p>
      <w:r>
        <w:drawing>
          <wp:inline distT="0" distB="0" distL="114300" distR="114300">
            <wp:extent cx="5271135" cy="2446655"/>
            <wp:effectExtent l="0" t="0" r="1905" b="698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5271135" cy="2446655"/>
                    </a:xfrm>
                    <a:prstGeom prst="rect">
                      <a:avLst/>
                    </a:prstGeom>
                    <a:noFill/>
                    <a:ln>
                      <a:noFill/>
                    </a:ln>
                  </pic:spPr>
                </pic:pic>
              </a:graphicData>
            </a:graphic>
          </wp:inline>
        </w:drawing>
      </w:r>
    </w:p>
    <w:p>
      <w:pPr>
        <w:pStyle w:val="22"/>
        <w:numPr>
          <w:ilvl w:val="0"/>
          <w:numId w:val="3"/>
        </w:numPr>
        <w:ind w:firstLineChars="0"/>
      </w:pPr>
      <w:r>
        <w:rPr>
          <w:rFonts w:hint="eastAsia"/>
        </w:rPr>
        <w:t>检测方法：必填，显示检测依据的法律法规名称，可以修改</w:t>
      </w:r>
    </w:p>
    <w:p>
      <w:pPr>
        <w:pStyle w:val="22"/>
        <w:numPr>
          <w:ilvl w:val="0"/>
          <w:numId w:val="3"/>
        </w:numPr>
        <w:ind w:firstLineChars="0"/>
      </w:pPr>
      <w:r>
        <w:rPr>
          <w:rFonts w:hint="eastAsia"/>
        </w:rPr>
        <w:t>实验室认可标记：必填，单选是/否</w:t>
      </w:r>
    </w:p>
    <w:p>
      <w:pPr>
        <w:pStyle w:val="22"/>
        <w:numPr>
          <w:ilvl w:val="0"/>
          <w:numId w:val="3"/>
        </w:numPr>
        <w:ind w:firstLineChars="0"/>
      </w:pPr>
      <w:r>
        <w:rPr>
          <w:rFonts w:hint="eastAsia"/>
        </w:rPr>
        <w:t>资质认定标记：必填，单选是/否</w:t>
      </w:r>
    </w:p>
    <w:p>
      <w:pPr>
        <w:pStyle w:val="22"/>
        <w:numPr>
          <w:ilvl w:val="0"/>
          <w:numId w:val="3"/>
        </w:numPr>
        <w:ind w:firstLineChars="0"/>
      </w:pPr>
      <w:r>
        <w:rPr>
          <w:rFonts w:hint="eastAsia"/>
        </w:rPr>
        <w:t>外包标记：必填，单选是/否</w:t>
      </w:r>
      <w:r>
        <w:t xml:space="preserve"> </w:t>
      </w:r>
    </w:p>
    <w:p>
      <w:pPr>
        <w:pStyle w:val="22"/>
        <w:numPr>
          <w:ilvl w:val="0"/>
          <w:numId w:val="3"/>
        </w:numPr>
        <w:ind w:firstLineChars="0"/>
      </w:pPr>
      <w:r>
        <w:rPr>
          <w:rFonts w:hint="eastAsia"/>
        </w:rPr>
        <w:t>状态：必填，单选启用/停用</w:t>
      </w:r>
    </w:p>
    <w:p>
      <w:pPr>
        <w:pStyle w:val="22"/>
        <w:ind w:firstLine="0" w:firstLineChars="0"/>
        <w:rPr>
          <w:b/>
          <w:bCs/>
        </w:rPr>
      </w:pPr>
      <w:r>
        <w:rPr>
          <w:rFonts w:hint="eastAsia"/>
          <w:b/>
          <w:bCs/>
        </w:rPr>
        <w:t>注意：需先维护检测能力与单位职业卫生技术资质信息才能继续操作后续业务，职业卫生技术服务机构信息填报方式详见操作手册《重庆市职业病防治综合管理信息系统-用户操作手册-(资质申报+质控编号申请)》。</w:t>
      </w:r>
    </w:p>
    <w:p>
      <w:pPr>
        <w:pStyle w:val="2"/>
      </w:pPr>
      <w:r>
        <w:rPr>
          <w:rFonts w:hint="eastAsia"/>
        </w:rPr>
        <w:t>第四部分 合同及任务管理</w:t>
      </w:r>
    </w:p>
    <w:p>
      <w:pPr>
        <w:pStyle w:val="3"/>
      </w:pPr>
      <w:r>
        <w:rPr>
          <w:rFonts w:hint="eastAsia"/>
        </w:rPr>
        <w:t>4.1 功能说明</w:t>
      </w:r>
    </w:p>
    <w:p>
      <w:pPr>
        <w:ind w:firstLine="420"/>
      </w:pPr>
      <w:r>
        <w:rPr>
          <w:rFonts w:hint="eastAsia"/>
        </w:rPr>
        <w:t>用于职业卫生技术服务机构录入本单位承接的工作场所危害因素检测合同信息。</w:t>
      </w:r>
    </w:p>
    <w:p>
      <w:pPr>
        <w:ind w:firstLine="420"/>
        <w:rPr>
          <w:b/>
          <w:bCs/>
        </w:rPr>
      </w:pPr>
      <w:r>
        <w:rPr>
          <w:rFonts w:hint="eastAsia"/>
          <w:b/>
          <w:bCs/>
        </w:rPr>
        <w:t>注意：化学危害因素与物理危害因素需要单独出具检测报告单，所以合同及任务管理需单独创建，并且只需创建一次，分任务，进行数据流转。</w:t>
      </w:r>
    </w:p>
    <w:p>
      <w:pPr>
        <w:pStyle w:val="3"/>
      </w:pPr>
      <w:r>
        <w:rPr>
          <w:rFonts w:hint="eastAsia"/>
        </w:rPr>
        <w:t>4.2 菜单</w:t>
      </w:r>
    </w:p>
    <w:p>
      <w:pPr>
        <w:pStyle w:val="22"/>
        <w:ind w:left="420" w:firstLine="0" w:firstLineChars="0"/>
      </w:pPr>
      <w:r>
        <w:rPr>
          <w:rFonts w:hint="eastAsia"/>
        </w:rPr>
        <w:t>职业卫生技术服务机构登录系统后，点击【合同及任务管理】进入操作界面</w:t>
      </w:r>
    </w:p>
    <w:p>
      <w:pPr>
        <w:pStyle w:val="22"/>
        <w:ind w:firstLine="0" w:firstLineChars="0"/>
      </w:pPr>
      <w:r>
        <w:drawing>
          <wp:inline distT="0" distB="0" distL="114300" distR="114300">
            <wp:extent cx="5269230" cy="1480185"/>
            <wp:effectExtent l="0" t="0" r="3810" b="1333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9"/>
                    <a:stretch>
                      <a:fillRect/>
                    </a:stretch>
                  </pic:blipFill>
                  <pic:spPr>
                    <a:xfrm>
                      <a:off x="0" y="0"/>
                      <a:ext cx="5269230" cy="1480185"/>
                    </a:xfrm>
                    <a:prstGeom prst="rect">
                      <a:avLst/>
                    </a:prstGeom>
                    <a:noFill/>
                    <a:ln>
                      <a:noFill/>
                    </a:ln>
                  </pic:spPr>
                </pic:pic>
              </a:graphicData>
            </a:graphic>
          </wp:inline>
        </w:drawing>
      </w:r>
    </w:p>
    <w:p>
      <w:pPr>
        <w:pStyle w:val="3"/>
      </w:pPr>
      <w:r>
        <w:rPr>
          <w:rFonts w:hint="eastAsia"/>
        </w:rPr>
        <w:t>4.3 主页面</w:t>
      </w:r>
    </w:p>
    <w:p>
      <w:pPr>
        <w:pStyle w:val="22"/>
        <w:ind w:firstLine="0" w:firstLineChars="0"/>
      </w:pPr>
      <w:r>
        <w:rPr>
          <w:rFonts w:hint="eastAsia"/>
        </w:rPr>
        <w:t>1、主界面显示如下图：</w:t>
      </w:r>
    </w:p>
    <w:p>
      <w:pPr>
        <w:pStyle w:val="22"/>
        <w:ind w:firstLine="0" w:firstLineChars="0"/>
      </w:pPr>
      <w:r>
        <w:drawing>
          <wp:inline distT="0" distB="0" distL="0" distR="0">
            <wp:extent cx="5274310" cy="1518920"/>
            <wp:effectExtent l="19050" t="19050" r="21590" b="241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1519416"/>
                    </a:xfrm>
                    <a:prstGeom prst="rect">
                      <a:avLst/>
                    </a:prstGeom>
                    <a:ln w="6350">
                      <a:solidFill>
                        <a:schemeClr val="tx1"/>
                      </a:solidFill>
                    </a:ln>
                  </pic:spPr>
                </pic:pic>
              </a:graphicData>
            </a:graphic>
          </wp:inline>
        </w:drawing>
      </w:r>
    </w:p>
    <w:p>
      <w:pPr>
        <w:numPr>
          <w:ilvl w:val="0"/>
          <w:numId w:val="4"/>
        </w:numPr>
      </w:pPr>
      <w:r>
        <w:rPr>
          <w:rFonts w:hint="eastAsia"/>
        </w:rPr>
        <w:t>操作按钮说明</w:t>
      </w:r>
    </w:p>
    <w:p>
      <w:pPr>
        <w:pStyle w:val="22"/>
        <w:numPr>
          <w:ilvl w:val="0"/>
          <w:numId w:val="3"/>
        </w:numPr>
        <w:ind w:firstLineChars="0"/>
      </w:pPr>
      <w:r>
        <w:rPr>
          <w:rFonts w:hint="eastAsia"/>
        </w:rPr>
        <w:t>查询：根据查询条件显示本机构已承接的工作场所危害因素检测合同信息</w:t>
      </w:r>
    </w:p>
    <w:p>
      <w:pPr>
        <w:pStyle w:val="22"/>
        <w:numPr>
          <w:ilvl w:val="0"/>
          <w:numId w:val="3"/>
        </w:numPr>
        <w:ind w:firstLineChars="0"/>
      </w:pPr>
      <w:r>
        <w:rPr>
          <w:rFonts w:hint="eastAsia"/>
        </w:rPr>
        <w:t>添加：添加本机构承接的危害因素检测合同</w:t>
      </w:r>
    </w:p>
    <w:p>
      <w:r>
        <w:rPr>
          <w:rFonts w:hint="eastAsia"/>
        </w:rPr>
        <w:t>3、查询条件说明</w:t>
      </w:r>
    </w:p>
    <w:p>
      <w:pPr>
        <w:pStyle w:val="22"/>
        <w:numPr>
          <w:ilvl w:val="0"/>
          <w:numId w:val="3"/>
        </w:numPr>
        <w:ind w:firstLineChars="0"/>
      </w:pPr>
      <w:r>
        <w:rPr>
          <w:rFonts w:hint="eastAsia"/>
        </w:rPr>
        <w:t>用人单位地区：默认显示重庆市，下拉显示重庆市下所有地区</w:t>
      </w:r>
    </w:p>
    <w:p>
      <w:pPr>
        <w:pStyle w:val="22"/>
        <w:numPr>
          <w:ilvl w:val="0"/>
          <w:numId w:val="3"/>
        </w:numPr>
        <w:ind w:firstLineChars="0"/>
      </w:pPr>
      <w:r>
        <w:rPr>
          <w:rFonts w:hint="eastAsia"/>
        </w:rPr>
        <w:t>用人单位名称：可按照用人单位名称模糊查询</w:t>
      </w:r>
    </w:p>
    <w:p>
      <w:pPr>
        <w:pStyle w:val="22"/>
        <w:numPr>
          <w:ilvl w:val="0"/>
          <w:numId w:val="3"/>
        </w:numPr>
        <w:ind w:firstLineChars="0"/>
      </w:pPr>
      <w:r>
        <w:rPr>
          <w:rFonts w:hint="eastAsia"/>
        </w:rPr>
        <w:t>社会信用代码：可按照社会信用代码模糊查询</w:t>
      </w:r>
    </w:p>
    <w:p>
      <w:pPr>
        <w:pStyle w:val="22"/>
        <w:numPr>
          <w:ilvl w:val="0"/>
          <w:numId w:val="3"/>
        </w:numPr>
        <w:ind w:firstLineChars="0"/>
      </w:pPr>
      <w:r>
        <w:rPr>
          <w:rFonts w:hint="eastAsia"/>
        </w:rPr>
        <w:t>项目名称：可按照项目名称模糊查询</w:t>
      </w:r>
    </w:p>
    <w:p>
      <w:pPr>
        <w:pStyle w:val="22"/>
        <w:numPr>
          <w:ilvl w:val="0"/>
          <w:numId w:val="3"/>
        </w:numPr>
        <w:ind w:firstLineChars="0"/>
      </w:pPr>
      <w:r>
        <w:rPr>
          <w:rFonts w:hint="eastAsia"/>
        </w:rPr>
        <w:t>检测类别：下拉显示码表内容，可按照检测类别查询</w:t>
      </w:r>
    </w:p>
    <w:p>
      <w:pPr>
        <w:pStyle w:val="22"/>
        <w:numPr>
          <w:ilvl w:val="0"/>
          <w:numId w:val="3"/>
        </w:numPr>
        <w:ind w:firstLineChars="0"/>
      </w:pPr>
      <w:r>
        <w:rPr>
          <w:rFonts w:hint="eastAsia"/>
        </w:rPr>
        <w:t>签约日期：默认开始日期为空，结束日期为当前日期，可按照签约日期查询</w:t>
      </w:r>
    </w:p>
    <w:p>
      <w:pPr>
        <w:pStyle w:val="22"/>
        <w:numPr>
          <w:ilvl w:val="0"/>
          <w:numId w:val="3"/>
        </w:numPr>
        <w:ind w:firstLineChars="0"/>
      </w:pPr>
      <w:r>
        <w:rPr>
          <w:rFonts w:hint="eastAsia"/>
        </w:rPr>
        <w:t>状态：默认勾选“待提交”，可按照状态查询</w:t>
      </w:r>
    </w:p>
    <w:p>
      <w:r>
        <w:rPr>
          <w:rFonts w:hint="eastAsia"/>
        </w:rPr>
        <w:t>4、查询结果说明</w:t>
      </w:r>
    </w:p>
    <w:p>
      <w:pPr>
        <w:pStyle w:val="22"/>
        <w:numPr>
          <w:ilvl w:val="0"/>
          <w:numId w:val="3"/>
        </w:numPr>
        <w:ind w:firstLineChars="0"/>
      </w:pPr>
      <w:r>
        <w:rPr>
          <w:rFonts w:hint="eastAsia"/>
        </w:rPr>
        <w:t>显示列包含：合同号、用人单位地区、用人单位名称、检测类别、签约日期、预计完成日期、状态、操作（待提交显示“修改”“删除”；已提交显示“详情”）</w:t>
      </w:r>
    </w:p>
    <w:p>
      <w:pPr>
        <w:pStyle w:val="3"/>
      </w:pPr>
      <w:r>
        <w:rPr>
          <w:rFonts w:hint="eastAsia"/>
        </w:rPr>
        <w:t>4.4 添加/修改</w:t>
      </w:r>
    </w:p>
    <w:p>
      <w:r>
        <w:rPr>
          <w:rFonts w:hint="eastAsia"/>
        </w:rPr>
        <w:t>1、点击【添加】或操作列的【修改】，进入检测合同编辑页面：</w:t>
      </w:r>
    </w:p>
    <w:p>
      <w:r>
        <w:drawing>
          <wp:inline distT="0" distB="0" distL="114300" distR="114300">
            <wp:extent cx="5270500" cy="3102610"/>
            <wp:effectExtent l="0" t="0" r="254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5270500" cy="3102610"/>
                    </a:xfrm>
                    <a:prstGeom prst="rect">
                      <a:avLst/>
                    </a:prstGeom>
                    <a:noFill/>
                    <a:ln>
                      <a:noFill/>
                    </a:ln>
                  </pic:spPr>
                </pic:pic>
              </a:graphicData>
            </a:graphic>
          </wp:inline>
        </w:drawing>
      </w:r>
    </w:p>
    <w:p>
      <w:r>
        <w:drawing>
          <wp:inline distT="0" distB="0" distL="114300" distR="114300">
            <wp:extent cx="5266690" cy="302260"/>
            <wp:effectExtent l="0" t="0" r="6350"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5266690" cy="302260"/>
                    </a:xfrm>
                    <a:prstGeom prst="rect">
                      <a:avLst/>
                    </a:prstGeom>
                    <a:noFill/>
                    <a:ln>
                      <a:noFill/>
                    </a:ln>
                  </pic:spPr>
                </pic:pic>
              </a:graphicData>
            </a:graphic>
          </wp:inline>
        </w:drawing>
      </w:r>
    </w:p>
    <w:p>
      <w:r>
        <w:rPr>
          <w:rFonts w:hint="eastAsia"/>
        </w:rPr>
        <w:t>2、信息点说明</w:t>
      </w:r>
    </w:p>
    <w:p>
      <w:pPr>
        <w:pStyle w:val="22"/>
        <w:numPr>
          <w:ilvl w:val="0"/>
          <w:numId w:val="3"/>
        </w:numPr>
        <w:ind w:firstLineChars="0"/>
      </w:pPr>
      <w:r>
        <w:rPr>
          <w:rFonts w:hint="eastAsia"/>
        </w:rPr>
        <w:t>合同号：必填，输入与委托单位签订的合同编号，将带“</w:t>
      </w:r>
      <w:r>
        <w:rPr>
          <w:rFonts w:hint="eastAsia"/>
          <w:color w:val="FF0000"/>
          <w:sz w:val="30"/>
          <w:szCs w:val="30"/>
        </w:rPr>
        <w:t>*</w:t>
      </w:r>
      <w:r>
        <w:rPr>
          <w:rFonts w:hint="eastAsia"/>
        </w:rPr>
        <w:t>”号的必填项根据合同信息填报；</w:t>
      </w:r>
      <w:r>
        <w:rPr>
          <w:rFonts w:hint="eastAsia"/>
          <w:shd w:val="clear" w:color="auto" w:fill="00B050"/>
        </w:rPr>
        <w:t>对于主动监测和监督监测不存在委托合同信息的，创建虚拟合同编号，编号规则：ZS/JD+地区编号+年份+4流水号，其他类型检测合同信息照常填写</w:t>
      </w:r>
      <w:r>
        <w:rPr>
          <w:rFonts w:hint="eastAsia"/>
        </w:rPr>
        <w:t>。</w:t>
      </w:r>
    </w:p>
    <w:p>
      <w:pPr>
        <w:pStyle w:val="22"/>
        <w:numPr>
          <w:ilvl w:val="0"/>
          <w:numId w:val="3"/>
        </w:numPr>
        <w:ind w:firstLineChars="0"/>
      </w:pPr>
      <w:r>
        <w:rPr>
          <w:rFonts w:hint="eastAsia"/>
        </w:rPr>
        <w:t>检索：显示合同信息弹出框，显示之前以维护过的合同信息。</w:t>
      </w:r>
    </w:p>
    <w:p>
      <w:pPr>
        <w:pStyle w:val="22"/>
        <w:ind w:firstLine="0" w:firstLineChars="0"/>
      </w:pPr>
      <w:r>
        <w:drawing>
          <wp:inline distT="0" distB="0" distL="114300" distR="114300">
            <wp:extent cx="5273040" cy="1541780"/>
            <wp:effectExtent l="0" t="0" r="0" b="1270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3"/>
                    <a:stretch>
                      <a:fillRect/>
                    </a:stretch>
                  </pic:blipFill>
                  <pic:spPr>
                    <a:xfrm>
                      <a:off x="0" y="0"/>
                      <a:ext cx="5273040" cy="1541780"/>
                    </a:xfrm>
                    <a:prstGeom prst="rect">
                      <a:avLst/>
                    </a:prstGeom>
                    <a:noFill/>
                    <a:ln>
                      <a:noFill/>
                    </a:ln>
                  </pic:spPr>
                </pic:pic>
              </a:graphicData>
            </a:graphic>
          </wp:inline>
        </w:drawing>
      </w:r>
    </w:p>
    <w:p>
      <w:pPr>
        <w:pStyle w:val="22"/>
        <w:numPr>
          <w:ilvl w:val="0"/>
          <w:numId w:val="5"/>
        </w:numPr>
        <w:ind w:firstLineChars="0"/>
      </w:pPr>
      <w:r>
        <w:rPr>
          <w:rFonts w:hint="eastAsia"/>
        </w:rPr>
        <w:t>合同内容：必填项</w:t>
      </w:r>
    </w:p>
    <w:p>
      <w:pPr>
        <w:pStyle w:val="22"/>
        <w:numPr>
          <w:ilvl w:val="0"/>
          <w:numId w:val="3"/>
        </w:numPr>
        <w:ind w:firstLineChars="0"/>
      </w:pPr>
      <w:r>
        <w:rPr>
          <w:rFonts w:hint="eastAsia"/>
        </w:rPr>
        <w:t>签约日期：必填，默认当前日期，可以修改</w:t>
      </w:r>
    </w:p>
    <w:p>
      <w:pPr>
        <w:pStyle w:val="22"/>
        <w:numPr>
          <w:ilvl w:val="0"/>
          <w:numId w:val="3"/>
        </w:numPr>
        <w:ind w:firstLineChars="0"/>
      </w:pPr>
      <w:r>
        <w:rPr>
          <w:rFonts w:hint="eastAsia"/>
        </w:rPr>
        <w:t>检测类别：必填，单选，选择“其他”时显示其他类型选择</w:t>
      </w:r>
    </w:p>
    <w:p>
      <w:pPr>
        <w:pStyle w:val="22"/>
        <w:numPr>
          <w:ilvl w:val="0"/>
          <w:numId w:val="3"/>
        </w:numPr>
        <w:ind w:firstLineChars="0"/>
      </w:pPr>
      <w:r>
        <w:rPr>
          <w:rFonts w:hint="eastAsia"/>
        </w:rPr>
        <w:t>职业卫生标准：必填，根据检测内容，选择物理因素和化学因素或者单选其中之一</w:t>
      </w:r>
    </w:p>
    <w:p>
      <w:pPr>
        <w:pStyle w:val="22"/>
        <w:ind w:firstLine="0" w:firstLineChars="0"/>
      </w:pPr>
      <w:r>
        <w:drawing>
          <wp:inline distT="0" distB="0" distL="114300" distR="114300">
            <wp:extent cx="5273040" cy="1541145"/>
            <wp:effectExtent l="0" t="0" r="0"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a:stretch>
                      <a:fillRect/>
                    </a:stretch>
                  </pic:blipFill>
                  <pic:spPr>
                    <a:xfrm>
                      <a:off x="0" y="0"/>
                      <a:ext cx="5273040" cy="1541145"/>
                    </a:xfrm>
                    <a:prstGeom prst="rect">
                      <a:avLst/>
                    </a:prstGeom>
                    <a:noFill/>
                    <a:ln>
                      <a:noFill/>
                    </a:ln>
                  </pic:spPr>
                </pic:pic>
              </a:graphicData>
            </a:graphic>
          </wp:inline>
        </w:drawing>
      </w:r>
    </w:p>
    <w:p>
      <w:pPr>
        <w:pStyle w:val="22"/>
        <w:numPr>
          <w:ilvl w:val="0"/>
          <w:numId w:val="3"/>
        </w:numPr>
        <w:ind w:firstLineChars="0"/>
      </w:pPr>
      <w:r>
        <w:rPr>
          <w:rFonts w:hint="eastAsia"/>
        </w:rPr>
        <w:t>预计完成日期：必填，默认为空，大于等于签约日期</w:t>
      </w:r>
    </w:p>
    <w:p>
      <w:pPr>
        <w:pStyle w:val="22"/>
        <w:numPr>
          <w:ilvl w:val="0"/>
          <w:numId w:val="3"/>
        </w:numPr>
        <w:ind w:firstLineChars="0"/>
      </w:pPr>
      <w:r>
        <w:rPr>
          <w:rFonts w:hint="eastAsia"/>
        </w:rPr>
        <w:t>合同附件：非必填，只能上传PDF或图片，暂时只能上传一个文件</w:t>
      </w:r>
    </w:p>
    <w:p>
      <w:pPr>
        <w:pStyle w:val="22"/>
        <w:numPr>
          <w:ilvl w:val="0"/>
          <w:numId w:val="3"/>
        </w:numPr>
        <w:ind w:firstLineChars="0"/>
      </w:pPr>
      <w:r>
        <w:rPr>
          <w:rFonts w:hint="eastAsia"/>
        </w:rPr>
        <w:t>用人单位名称：显示选择用人单位弹出框，只显示本单位维护过的用人单位，添加/修改单位时显示“在册职工总数”“外委人员数”信息点，都非必填</w:t>
      </w:r>
    </w:p>
    <w:p>
      <w:r>
        <w:drawing>
          <wp:inline distT="0" distB="0" distL="0" distR="0">
            <wp:extent cx="5274310" cy="2039620"/>
            <wp:effectExtent l="19050" t="19050" r="2159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2040132"/>
                    </a:xfrm>
                    <a:prstGeom prst="rect">
                      <a:avLst/>
                    </a:prstGeom>
                    <a:ln w="6350">
                      <a:solidFill>
                        <a:schemeClr val="tx1"/>
                      </a:solidFill>
                    </a:ln>
                  </pic:spPr>
                </pic:pic>
              </a:graphicData>
            </a:graphic>
          </wp:inline>
        </w:drawing>
      </w:r>
    </w:p>
    <w:p>
      <w:pPr>
        <w:pStyle w:val="22"/>
        <w:numPr>
          <w:ilvl w:val="0"/>
          <w:numId w:val="3"/>
        </w:numPr>
        <w:ind w:firstLineChars="0"/>
        <w:rPr>
          <w:rFonts w:hint="eastAsia"/>
        </w:rPr>
      </w:pPr>
      <w:r>
        <w:rPr>
          <w:rFonts w:hint="eastAsia"/>
        </w:rPr>
        <w:t>委托单位名称：默认显示选择的用人单位名称，可修改</w:t>
      </w:r>
    </w:p>
    <w:p>
      <w:pPr>
        <w:pStyle w:val="22"/>
        <w:numPr>
          <w:ilvl w:val="0"/>
          <w:numId w:val="3"/>
        </w:numPr>
        <w:ind w:firstLineChars="0"/>
      </w:pPr>
      <w:r>
        <w:rPr>
          <w:rFonts w:hint="eastAsia"/>
        </w:rPr>
        <w:t>任务名称：必填（</w:t>
      </w:r>
      <w:r>
        <w:rPr>
          <w:rFonts w:hint="eastAsia"/>
          <w:b/>
          <w:bCs/>
        </w:rPr>
        <w:t>本次检测的任务描述，如XX单位物理/化学危害因素检测</w:t>
      </w:r>
      <w:r>
        <w:rPr>
          <w:rFonts w:hint="eastAsia"/>
        </w:rPr>
        <w:t>）</w:t>
      </w:r>
    </w:p>
    <w:p>
      <w:pPr>
        <w:pStyle w:val="2"/>
      </w:pPr>
      <w:r>
        <w:rPr>
          <w:rFonts w:hint="eastAsia"/>
        </w:rPr>
        <w:t>第五部分 现场调查</w:t>
      </w:r>
    </w:p>
    <w:p>
      <w:pPr>
        <w:pStyle w:val="3"/>
      </w:pPr>
      <w:r>
        <w:rPr>
          <w:rFonts w:hint="eastAsia"/>
        </w:rPr>
        <w:t>5.1 功能说明</w:t>
      </w:r>
    </w:p>
    <w:p>
      <w:pPr>
        <w:ind w:firstLine="480" w:firstLineChars="200"/>
      </w:pPr>
      <w:r>
        <w:rPr>
          <w:rFonts w:hint="eastAsia"/>
        </w:rPr>
        <w:t>主要用于职业卫生技术服务机构对已提交的检测合同录入现场调查数据</w:t>
      </w:r>
    </w:p>
    <w:p>
      <w:pPr>
        <w:pStyle w:val="3"/>
      </w:pPr>
      <w:r>
        <w:rPr>
          <w:rFonts w:hint="eastAsia"/>
        </w:rPr>
        <w:t>5.2 菜单</w:t>
      </w:r>
    </w:p>
    <w:p>
      <w:pPr>
        <w:pStyle w:val="22"/>
        <w:ind w:left="420" w:firstLine="0" w:firstLineChars="0"/>
      </w:pPr>
      <w:r>
        <w:rPr>
          <w:rFonts w:hint="eastAsia"/>
        </w:rPr>
        <w:t>职业卫生技术服务机构登录系统后，点击【现场调查】进入操作界面</w:t>
      </w:r>
    </w:p>
    <w:p>
      <w:r>
        <w:drawing>
          <wp:inline distT="0" distB="0" distL="114300" distR="114300">
            <wp:extent cx="5273675" cy="1598295"/>
            <wp:effectExtent l="0" t="0" r="14605" b="190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6"/>
                    <a:stretch>
                      <a:fillRect/>
                    </a:stretch>
                  </pic:blipFill>
                  <pic:spPr>
                    <a:xfrm>
                      <a:off x="0" y="0"/>
                      <a:ext cx="5273675" cy="1598295"/>
                    </a:xfrm>
                    <a:prstGeom prst="rect">
                      <a:avLst/>
                    </a:prstGeom>
                    <a:noFill/>
                    <a:ln>
                      <a:noFill/>
                    </a:ln>
                  </pic:spPr>
                </pic:pic>
              </a:graphicData>
            </a:graphic>
          </wp:inline>
        </w:drawing>
      </w:r>
    </w:p>
    <w:p>
      <w:pPr>
        <w:pStyle w:val="3"/>
      </w:pPr>
      <w:r>
        <w:rPr>
          <w:rFonts w:hint="eastAsia"/>
        </w:rPr>
        <w:t>5.3 主页面</w:t>
      </w:r>
    </w:p>
    <w:p>
      <w:r>
        <w:rPr>
          <w:rFonts w:hint="eastAsia"/>
        </w:rPr>
        <w:t>1、主界面显示如下图：</w:t>
      </w:r>
    </w:p>
    <w:p>
      <w:r>
        <w:drawing>
          <wp:inline distT="0" distB="0" distL="114300" distR="114300">
            <wp:extent cx="5262880" cy="1169670"/>
            <wp:effectExtent l="0" t="0" r="10160" b="381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7"/>
                    <a:stretch>
                      <a:fillRect/>
                    </a:stretch>
                  </pic:blipFill>
                  <pic:spPr>
                    <a:xfrm>
                      <a:off x="0" y="0"/>
                      <a:ext cx="5262880" cy="1169670"/>
                    </a:xfrm>
                    <a:prstGeom prst="rect">
                      <a:avLst/>
                    </a:prstGeom>
                    <a:noFill/>
                    <a:ln>
                      <a:noFill/>
                    </a:ln>
                  </pic:spPr>
                </pic:pic>
              </a:graphicData>
            </a:graphic>
          </wp:inline>
        </w:drawing>
      </w:r>
    </w:p>
    <w:p>
      <w:pPr>
        <w:numPr>
          <w:ilvl w:val="0"/>
          <w:numId w:val="6"/>
        </w:numPr>
      </w:pPr>
      <w:r>
        <w:rPr>
          <w:rFonts w:hint="eastAsia"/>
        </w:rPr>
        <w:t>操作按钮说明</w:t>
      </w:r>
    </w:p>
    <w:p>
      <w:pPr>
        <w:pStyle w:val="22"/>
        <w:numPr>
          <w:ilvl w:val="0"/>
          <w:numId w:val="3"/>
        </w:numPr>
        <w:ind w:firstLineChars="0"/>
      </w:pPr>
      <w:r>
        <w:rPr>
          <w:rFonts w:hint="eastAsia"/>
        </w:rPr>
        <w:t>查询：根据查询条件显示本机构对已提交的检测合同进行的现场调查记录</w:t>
      </w:r>
    </w:p>
    <w:p>
      <w:pPr>
        <w:numPr>
          <w:ilvl w:val="0"/>
          <w:numId w:val="6"/>
        </w:numPr>
      </w:pPr>
      <w:r>
        <w:rPr>
          <w:rFonts w:hint="eastAsia"/>
        </w:rPr>
        <w:t>查询条件说明</w:t>
      </w:r>
    </w:p>
    <w:p>
      <w:pPr>
        <w:pStyle w:val="22"/>
        <w:numPr>
          <w:ilvl w:val="0"/>
          <w:numId w:val="3"/>
        </w:numPr>
        <w:ind w:firstLineChars="0"/>
      </w:pPr>
      <w:r>
        <w:rPr>
          <w:rFonts w:hint="eastAsia"/>
        </w:rPr>
        <w:t>用人单位地区：默认显示重庆市，拉下显示重庆市下所有地区</w:t>
      </w:r>
    </w:p>
    <w:p>
      <w:pPr>
        <w:pStyle w:val="22"/>
        <w:numPr>
          <w:ilvl w:val="0"/>
          <w:numId w:val="3"/>
        </w:numPr>
        <w:ind w:firstLineChars="0"/>
      </w:pPr>
      <w:r>
        <w:rPr>
          <w:rFonts w:hint="eastAsia"/>
        </w:rPr>
        <w:t>用人单位名称：可按照用人单位名称模糊查询</w:t>
      </w:r>
    </w:p>
    <w:p>
      <w:pPr>
        <w:pStyle w:val="22"/>
        <w:numPr>
          <w:ilvl w:val="0"/>
          <w:numId w:val="3"/>
        </w:numPr>
        <w:ind w:firstLineChars="0"/>
      </w:pPr>
      <w:r>
        <w:rPr>
          <w:rFonts w:hint="eastAsia"/>
        </w:rPr>
        <w:t>社会信用代码：可按照社会信用代码模糊查询</w:t>
      </w:r>
    </w:p>
    <w:p>
      <w:pPr>
        <w:pStyle w:val="22"/>
        <w:numPr>
          <w:ilvl w:val="0"/>
          <w:numId w:val="3"/>
        </w:numPr>
        <w:ind w:firstLineChars="0"/>
      </w:pPr>
      <w:r>
        <w:rPr>
          <w:rFonts w:hint="eastAsia"/>
        </w:rPr>
        <w:t>任务名称：可按照项目名称模糊查询</w:t>
      </w:r>
    </w:p>
    <w:p>
      <w:pPr>
        <w:pStyle w:val="22"/>
        <w:numPr>
          <w:ilvl w:val="0"/>
          <w:numId w:val="3"/>
        </w:numPr>
        <w:ind w:firstLineChars="0"/>
      </w:pPr>
      <w:r>
        <w:rPr>
          <w:rFonts w:hint="eastAsia"/>
        </w:rPr>
        <w:t>检测类别：下拉显示码表内容，可按照检测类别查询</w:t>
      </w:r>
    </w:p>
    <w:p>
      <w:pPr>
        <w:pStyle w:val="22"/>
        <w:numPr>
          <w:ilvl w:val="0"/>
          <w:numId w:val="3"/>
        </w:numPr>
        <w:ind w:firstLineChars="0"/>
      </w:pPr>
      <w:r>
        <w:rPr>
          <w:rFonts w:hint="eastAsia"/>
        </w:rPr>
        <w:t>签约日期：默认开始日期为空，结束日期为当前日期，可按照签约日期查询</w:t>
      </w:r>
    </w:p>
    <w:p>
      <w:pPr>
        <w:pStyle w:val="22"/>
        <w:numPr>
          <w:ilvl w:val="0"/>
          <w:numId w:val="3"/>
        </w:numPr>
        <w:ind w:firstLineChars="0"/>
      </w:pPr>
      <w:r>
        <w:rPr>
          <w:rFonts w:hint="eastAsia"/>
        </w:rPr>
        <w:t>调查日期：默认开始日期和结束日期都为空，可按照调查日期查询</w:t>
      </w:r>
    </w:p>
    <w:p>
      <w:pPr>
        <w:pStyle w:val="22"/>
        <w:numPr>
          <w:ilvl w:val="0"/>
          <w:numId w:val="3"/>
        </w:numPr>
        <w:ind w:firstLineChars="0"/>
      </w:pPr>
      <w:r>
        <w:rPr>
          <w:rFonts w:hint="eastAsia"/>
        </w:rPr>
        <w:t>状态：默认勾选“待提交”，可按照状态查询</w:t>
      </w:r>
    </w:p>
    <w:p>
      <w:pPr>
        <w:numPr>
          <w:ilvl w:val="0"/>
          <w:numId w:val="6"/>
        </w:numPr>
      </w:pPr>
      <w:r>
        <w:rPr>
          <w:rFonts w:hint="eastAsia"/>
        </w:rPr>
        <w:t>查询结果说明</w:t>
      </w:r>
    </w:p>
    <w:p>
      <w:pPr>
        <w:pStyle w:val="22"/>
        <w:numPr>
          <w:ilvl w:val="0"/>
          <w:numId w:val="3"/>
        </w:numPr>
        <w:ind w:firstLineChars="0"/>
      </w:pPr>
      <w:r>
        <w:rPr>
          <w:rFonts w:hint="eastAsia"/>
        </w:rPr>
        <w:t>显示列包含：用人单位地区、用人单位名称、合同号、任务名称、检测类别、签约日期、调查日期、状态、操作（待提交显示“调查”；已提交显示“详情”）</w:t>
      </w:r>
    </w:p>
    <w:p>
      <w:pPr>
        <w:pStyle w:val="3"/>
      </w:pPr>
      <w:r>
        <w:rPr>
          <w:rFonts w:hint="eastAsia"/>
        </w:rPr>
        <w:t>5.4 调查</w:t>
      </w:r>
    </w:p>
    <w:p>
      <w:r>
        <w:rPr>
          <w:rFonts w:hint="eastAsia"/>
        </w:rPr>
        <w:t>1、点击【调查】按钮，进入调查信息录入页面：</w:t>
      </w:r>
    </w:p>
    <w:p>
      <w:r>
        <w:drawing>
          <wp:inline distT="0" distB="0" distL="114300" distR="114300">
            <wp:extent cx="5274310" cy="1111885"/>
            <wp:effectExtent l="0" t="0" r="13970" b="6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8"/>
                    <a:stretch>
                      <a:fillRect/>
                    </a:stretch>
                  </pic:blipFill>
                  <pic:spPr>
                    <a:xfrm>
                      <a:off x="0" y="0"/>
                      <a:ext cx="5274310" cy="1111885"/>
                    </a:xfrm>
                    <a:prstGeom prst="rect">
                      <a:avLst/>
                    </a:prstGeom>
                    <a:noFill/>
                    <a:ln>
                      <a:noFill/>
                    </a:ln>
                  </pic:spPr>
                </pic:pic>
              </a:graphicData>
            </a:graphic>
          </wp:inline>
        </w:drawing>
      </w:r>
    </w:p>
    <w:p>
      <w:r>
        <w:rPr>
          <w:rFonts w:hint="eastAsia"/>
        </w:rPr>
        <w:t>2、【基本信息】说明</w:t>
      </w:r>
      <w:r>
        <w:t xml:space="preserve"> </w:t>
      </w:r>
    </w:p>
    <w:p>
      <w:pPr>
        <w:pStyle w:val="22"/>
        <w:numPr>
          <w:ilvl w:val="0"/>
          <w:numId w:val="3"/>
        </w:numPr>
        <w:ind w:firstLineChars="0"/>
      </w:pPr>
      <w:r>
        <w:rPr>
          <w:rFonts w:hint="eastAsia"/>
        </w:rPr>
        <w:t>用人单位名称：默认显示检测合同的用人单位名称，不可修改</w:t>
      </w:r>
    </w:p>
    <w:p>
      <w:pPr>
        <w:pStyle w:val="22"/>
        <w:numPr>
          <w:ilvl w:val="0"/>
          <w:numId w:val="3"/>
        </w:numPr>
        <w:ind w:firstLineChars="0"/>
      </w:pPr>
      <w:r>
        <w:rPr>
          <w:rFonts w:hint="eastAsia"/>
        </w:rPr>
        <w:t>检测类别：默认显示检测合同的检测类别，不可修改</w:t>
      </w:r>
    </w:p>
    <w:p>
      <w:pPr>
        <w:pStyle w:val="22"/>
        <w:numPr>
          <w:ilvl w:val="0"/>
          <w:numId w:val="3"/>
        </w:numPr>
        <w:ind w:firstLineChars="0"/>
      </w:pPr>
      <w:r>
        <w:rPr>
          <w:rFonts w:hint="eastAsia"/>
        </w:rPr>
        <w:t>签约日期：默认显示检测合同的签约日期，不可修改</w:t>
      </w:r>
    </w:p>
    <w:p>
      <w:pPr>
        <w:pStyle w:val="22"/>
        <w:numPr>
          <w:ilvl w:val="0"/>
          <w:numId w:val="3"/>
        </w:numPr>
        <w:ind w:firstLineChars="0"/>
      </w:pPr>
      <w:r>
        <w:rPr>
          <w:rFonts w:hint="eastAsia"/>
        </w:rPr>
        <w:t>调查日期：必填，默认显示当前日期，大于等于签约日期，可以修改</w:t>
      </w:r>
    </w:p>
    <w:p>
      <w:r>
        <w:rPr>
          <w:rFonts w:hint="eastAsia"/>
        </w:rPr>
        <w:t>3、【劳动定员与工作内容】说明</w:t>
      </w:r>
    </w:p>
    <w:p>
      <w:r>
        <w:drawing>
          <wp:inline distT="0" distB="0" distL="0" distR="0">
            <wp:extent cx="5274310" cy="2264410"/>
            <wp:effectExtent l="19050" t="19050" r="21590" b="215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274310" cy="2264779"/>
                    </a:xfrm>
                    <a:prstGeom prst="rect">
                      <a:avLst/>
                    </a:prstGeom>
                    <a:ln w="6350">
                      <a:solidFill>
                        <a:schemeClr val="tx1"/>
                      </a:solidFill>
                    </a:ln>
                  </pic:spPr>
                </pic:pic>
              </a:graphicData>
            </a:graphic>
          </wp:inline>
        </w:drawing>
      </w:r>
    </w:p>
    <w:p>
      <w:pPr>
        <w:pStyle w:val="22"/>
        <w:numPr>
          <w:ilvl w:val="0"/>
          <w:numId w:val="3"/>
        </w:numPr>
        <w:ind w:firstLineChars="0"/>
      </w:pPr>
      <w:r>
        <w:rPr>
          <w:rFonts w:hint="eastAsia"/>
        </w:rPr>
        <w:t>劳动定员与工作内容：</w:t>
      </w:r>
      <w:r>
        <w:t xml:space="preserve"> </w:t>
      </w:r>
      <w:r>
        <w:rPr>
          <w:rFonts w:hint="eastAsia"/>
        </w:rPr>
        <w:t>所有检测类别都有这个调查内容，其中“场所/车间”至少有一条记录</w:t>
      </w:r>
    </w:p>
    <w:p>
      <w:pPr>
        <w:pStyle w:val="22"/>
        <w:numPr>
          <w:ilvl w:val="0"/>
          <w:numId w:val="3"/>
        </w:numPr>
        <w:ind w:firstLineChars="0"/>
      </w:pPr>
      <w:r>
        <w:rPr>
          <w:rFonts w:hint="eastAsia"/>
        </w:rPr>
        <w:t>场所</w:t>
      </w:r>
      <w:r>
        <w:rPr>
          <w:rFonts w:hint="eastAsia"/>
          <w:color w:val="000000" w:themeColor="text1"/>
          <w14:textFill>
            <w14:solidFill>
              <w14:schemeClr w14:val="tx1"/>
            </w14:solidFill>
          </w14:textFill>
        </w:rPr>
        <w:t>/</w:t>
      </w:r>
      <w:r>
        <w:rPr>
          <w:rFonts w:hint="eastAsia"/>
        </w:rPr>
        <w:t>车间：必填，同一调查记录下名称唯一，其中“岗位/工种”至少有一条记录</w:t>
      </w:r>
    </w:p>
    <w:p>
      <w:pPr>
        <w:pStyle w:val="22"/>
        <w:numPr>
          <w:ilvl w:val="0"/>
          <w:numId w:val="3"/>
        </w:numPr>
        <w:ind w:firstLineChars="0"/>
      </w:pPr>
      <w:r>
        <w:rPr>
          <w:rFonts w:hint="eastAsia"/>
        </w:rPr>
        <w:t>岗位/工种：必填，同一场所/车间下名称唯一</w:t>
      </w:r>
      <w:r>
        <w:rPr>
          <w:rFonts w:hint="eastAsia"/>
        </w:rPr>
        <w:tab/>
      </w:r>
    </w:p>
    <w:p>
      <w:pPr>
        <w:pStyle w:val="22"/>
        <w:numPr>
          <w:ilvl w:val="0"/>
          <w:numId w:val="3"/>
        </w:numPr>
        <w:ind w:firstLineChars="0"/>
      </w:pPr>
      <w:r>
        <w:rPr>
          <w:rFonts w:hint="eastAsia"/>
        </w:rPr>
        <w:t>作业地点：必填</w:t>
      </w:r>
    </w:p>
    <w:p>
      <w:pPr>
        <w:pStyle w:val="22"/>
        <w:numPr>
          <w:ilvl w:val="0"/>
          <w:numId w:val="3"/>
        </w:numPr>
        <w:ind w:firstLineChars="0"/>
      </w:pPr>
      <w:r>
        <w:rPr>
          <w:rFonts w:hint="eastAsia"/>
        </w:rPr>
        <w:t>职业病危害因素：必填，</w:t>
      </w:r>
      <w:r>
        <w:rPr>
          <w:rFonts w:hint="eastAsia"/>
          <w:color w:val="FF0000"/>
        </w:rPr>
        <w:t>显示合同中使用的检测标准内本单位有对应检测项目能力的危害因素</w:t>
      </w:r>
      <w:r>
        <w:rPr>
          <w:rFonts w:hint="eastAsia"/>
        </w:rPr>
        <w:t>，多选</w:t>
      </w:r>
    </w:p>
    <w:p>
      <w:r>
        <w:drawing>
          <wp:inline distT="0" distB="0" distL="114300" distR="114300">
            <wp:extent cx="5270500" cy="2750185"/>
            <wp:effectExtent l="0" t="0" r="254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0"/>
                    <a:stretch>
                      <a:fillRect/>
                    </a:stretch>
                  </pic:blipFill>
                  <pic:spPr>
                    <a:xfrm>
                      <a:off x="0" y="0"/>
                      <a:ext cx="5270500" cy="2750185"/>
                    </a:xfrm>
                    <a:prstGeom prst="rect">
                      <a:avLst/>
                    </a:prstGeom>
                    <a:noFill/>
                    <a:ln>
                      <a:noFill/>
                    </a:ln>
                  </pic:spPr>
                </pic:pic>
              </a:graphicData>
            </a:graphic>
          </wp:inline>
        </w:drawing>
      </w:r>
    </w:p>
    <w:p>
      <w:pPr>
        <w:pStyle w:val="22"/>
        <w:numPr>
          <w:ilvl w:val="0"/>
          <w:numId w:val="3"/>
        </w:numPr>
        <w:ind w:firstLineChars="0"/>
      </w:pPr>
      <w:r>
        <w:rPr>
          <w:rFonts w:hint="eastAsia"/>
        </w:rPr>
        <w:t>日工作时间、日接触时间、周工作时间、周工作时间，填写数值；日接触时间默认等于日工作时间，可修改</w:t>
      </w:r>
    </w:p>
    <w:p>
      <w:pPr>
        <w:pStyle w:val="22"/>
        <w:numPr>
          <w:ilvl w:val="0"/>
          <w:numId w:val="3"/>
        </w:numPr>
        <w:ind w:firstLineChars="0"/>
      </w:pPr>
      <w:r>
        <w:rPr>
          <w:rFonts w:hint="eastAsia"/>
        </w:rPr>
        <w:t>个人防护用户及使用情况，</w:t>
      </w:r>
      <w:r>
        <w:rPr>
          <w:rFonts w:hint="eastAsia"/>
          <w:b/>
          <w:bCs/>
        </w:rPr>
        <w:t>定期检测必填</w:t>
      </w:r>
    </w:p>
    <w:p>
      <w:pPr>
        <w:pStyle w:val="22"/>
        <w:numPr>
          <w:ilvl w:val="0"/>
          <w:numId w:val="3"/>
        </w:numPr>
        <w:ind w:firstLineChars="0"/>
      </w:pPr>
      <w:r>
        <w:rPr>
          <w:rFonts w:hint="eastAsia"/>
        </w:rPr>
        <w:t>职业病防护设施及运行情况，</w:t>
      </w:r>
      <w:r>
        <w:rPr>
          <w:rFonts w:hint="eastAsia"/>
          <w:b/>
          <w:bCs/>
        </w:rPr>
        <w:t>定期检测必填</w:t>
      </w:r>
    </w:p>
    <w:p>
      <w:pPr>
        <w:pStyle w:val="22"/>
        <w:numPr>
          <w:ilvl w:val="0"/>
          <w:numId w:val="3"/>
        </w:numPr>
        <w:ind w:firstLineChars="0"/>
      </w:pPr>
      <w:r>
        <w:rPr>
          <w:rFonts w:hint="eastAsia"/>
        </w:rPr>
        <w:t>备注：非必填</w:t>
      </w:r>
    </w:p>
    <w:p>
      <w:pPr>
        <w:pStyle w:val="22"/>
        <w:numPr>
          <w:ilvl w:val="0"/>
          <w:numId w:val="3"/>
        </w:numPr>
        <w:ind w:firstLineChars="0"/>
      </w:pPr>
      <w:r>
        <w:rPr>
          <w:rFonts w:hint="eastAsia"/>
        </w:rPr>
        <w:t>连续保存：可以连续添加岗位/工种记录</w:t>
      </w:r>
    </w:p>
    <w:p>
      <w:r>
        <w:rPr>
          <w:rFonts w:hint="eastAsia"/>
        </w:rPr>
        <w:t>3、【调查内容】说明</w:t>
      </w:r>
    </w:p>
    <w:p>
      <w:r>
        <w:drawing>
          <wp:inline distT="0" distB="0" distL="0" distR="0">
            <wp:extent cx="5274310" cy="1497330"/>
            <wp:effectExtent l="19050" t="19050" r="21590" b="266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74310" cy="1497440"/>
                    </a:xfrm>
                    <a:prstGeom prst="rect">
                      <a:avLst/>
                    </a:prstGeom>
                    <a:ln w="6350">
                      <a:solidFill>
                        <a:schemeClr val="tx1"/>
                      </a:solidFill>
                    </a:ln>
                  </pic:spPr>
                </pic:pic>
              </a:graphicData>
            </a:graphic>
          </wp:inline>
        </w:drawing>
      </w:r>
    </w:p>
    <w:p>
      <w:pPr>
        <w:pStyle w:val="22"/>
        <w:numPr>
          <w:ilvl w:val="0"/>
          <w:numId w:val="3"/>
        </w:numPr>
        <w:ind w:firstLineChars="0"/>
      </w:pPr>
      <w:r>
        <w:rPr>
          <w:rFonts w:hint="eastAsia"/>
        </w:rPr>
        <w:t>调查内容：只有检测类别为“定期”时才有这个调查内容，其中“使用原辅料”、“产品及副产品”、“生产工艺及设备”各自至少有一条记录</w:t>
      </w:r>
    </w:p>
    <w:p>
      <w:pPr>
        <w:pStyle w:val="2"/>
      </w:pPr>
      <w:r>
        <w:rPr>
          <w:rFonts w:hint="eastAsia"/>
        </w:rPr>
        <w:t>第六部分 样品管理</w:t>
      </w:r>
    </w:p>
    <w:p>
      <w:pPr>
        <w:pStyle w:val="3"/>
      </w:pPr>
      <w:r>
        <w:rPr>
          <w:rFonts w:hint="eastAsia"/>
        </w:rPr>
        <w:t>6.1 功能说明</w:t>
      </w:r>
    </w:p>
    <w:p>
      <w:pPr>
        <w:ind w:firstLine="480" w:firstLineChars="200"/>
      </w:pPr>
      <w:r>
        <w:rPr>
          <w:rFonts w:hint="eastAsia"/>
        </w:rPr>
        <w:t>用于职业卫生技术服务机构对已完成的现场调查的记录录入采样信息</w:t>
      </w:r>
    </w:p>
    <w:p>
      <w:pPr>
        <w:pStyle w:val="3"/>
      </w:pPr>
      <w:r>
        <w:rPr>
          <w:rFonts w:hint="eastAsia"/>
        </w:rPr>
        <w:t>6.2 菜单</w:t>
      </w:r>
    </w:p>
    <w:p>
      <w:pPr>
        <w:pStyle w:val="22"/>
        <w:ind w:left="420" w:firstLine="0" w:firstLineChars="0"/>
      </w:pPr>
      <w:r>
        <w:rPr>
          <w:rFonts w:hint="eastAsia"/>
        </w:rPr>
        <w:t>职业卫生技术服务机构登录系统后，点击【样品管理】进入操作界面</w:t>
      </w:r>
    </w:p>
    <w:p>
      <w:r>
        <w:drawing>
          <wp:inline distT="0" distB="0" distL="114300" distR="114300">
            <wp:extent cx="5268595" cy="1496060"/>
            <wp:effectExtent l="0" t="0" r="4445" b="1270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2"/>
                    <a:stretch>
                      <a:fillRect/>
                    </a:stretch>
                  </pic:blipFill>
                  <pic:spPr>
                    <a:xfrm>
                      <a:off x="0" y="0"/>
                      <a:ext cx="5268595" cy="1496060"/>
                    </a:xfrm>
                    <a:prstGeom prst="rect">
                      <a:avLst/>
                    </a:prstGeom>
                    <a:noFill/>
                    <a:ln>
                      <a:noFill/>
                    </a:ln>
                  </pic:spPr>
                </pic:pic>
              </a:graphicData>
            </a:graphic>
          </wp:inline>
        </w:drawing>
      </w:r>
    </w:p>
    <w:p>
      <w:pPr>
        <w:pStyle w:val="3"/>
      </w:pPr>
      <w:r>
        <w:rPr>
          <w:rFonts w:hint="eastAsia"/>
        </w:rPr>
        <w:t>6.3 主页面</w:t>
      </w:r>
    </w:p>
    <w:p>
      <w:r>
        <w:rPr>
          <w:rFonts w:hint="eastAsia"/>
        </w:rPr>
        <w:t>1、主界面显示如下图：</w:t>
      </w:r>
    </w:p>
    <w:p>
      <w:r>
        <w:drawing>
          <wp:inline distT="0" distB="0" distL="114300" distR="114300">
            <wp:extent cx="5268595" cy="1194435"/>
            <wp:effectExtent l="0" t="0" r="444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68595" cy="1194435"/>
                    </a:xfrm>
                    <a:prstGeom prst="rect">
                      <a:avLst/>
                    </a:prstGeom>
                    <a:noFill/>
                    <a:ln>
                      <a:noFill/>
                    </a:ln>
                  </pic:spPr>
                </pic:pic>
              </a:graphicData>
            </a:graphic>
          </wp:inline>
        </w:drawing>
      </w:r>
    </w:p>
    <w:p>
      <w:pPr>
        <w:numPr>
          <w:ilvl w:val="0"/>
          <w:numId w:val="7"/>
        </w:numPr>
      </w:pPr>
      <w:r>
        <w:rPr>
          <w:rFonts w:hint="eastAsia"/>
        </w:rPr>
        <w:t>操作按钮说明</w:t>
      </w:r>
    </w:p>
    <w:p>
      <w:pPr>
        <w:pStyle w:val="22"/>
        <w:numPr>
          <w:ilvl w:val="0"/>
          <w:numId w:val="3"/>
        </w:numPr>
        <w:ind w:firstLineChars="0"/>
      </w:pPr>
      <w:r>
        <w:rPr>
          <w:rFonts w:hint="eastAsia"/>
        </w:rPr>
        <w:t>查询：根据查询条件显示本机构对已提交的现场调查记录进行录入采样信息</w:t>
      </w:r>
    </w:p>
    <w:p>
      <w:pPr>
        <w:numPr>
          <w:ilvl w:val="0"/>
          <w:numId w:val="7"/>
        </w:numPr>
      </w:pPr>
      <w:r>
        <w:rPr>
          <w:rFonts w:hint="eastAsia"/>
        </w:rPr>
        <w:t>查询条件说明</w:t>
      </w:r>
    </w:p>
    <w:p>
      <w:pPr>
        <w:pStyle w:val="22"/>
        <w:numPr>
          <w:ilvl w:val="0"/>
          <w:numId w:val="3"/>
        </w:numPr>
        <w:ind w:firstLineChars="0"/>
      </w:pPr>
      <w:r>
        <w:rPr>
          <w:rFonts w:hint="eastAsia"/>
        </w:rPr>
        <w:t>用人单位地区：默认显示重庆市，拉下显示重庆市下所有地区</w:t>
      </w:r>
    </w:p>
    <w:p>
      <w:pPr>
        <w:pStyle w:val="22"/>
        <w:numPr>
          <w:ilvl w:val="0"/>
          <w:numId w:val="3"/>
        </w:numPr>
        <w:ind w:firstLineChars="0"/>
      </w:pPr>
      <w:r>
        <w:rPr>
          <w:rFonts w:hint="eastAsia"/>
        </w:rPr>
        <w:t>用人单位名称：可按照用人单位名称模糊查询</w:t>
      </w:r>
    </w:p>
    <w:p>
      <w:pPr>
        <w:pStyle w:val="22"/>
        <w:numPr>
          <w:ilvl w:val="0"/>
          <w:numId w:val="3"/>
        </w:numPr>
        <w:ind w:firstLineChars="0"/>
      </w:pPr>
      <w:r>
        <w:rPr>
          <w:rFonts w:hint="eastAsia"/>
        </w:rPr>
        <w:t>社会信用代码：可按照社会信用代码模糊查询</w:t>
      </w:r>
    </w:p>
    <w:p>
      <w:pPr>
        <w:pStyle w:val="22"/>
        <w:numPr>
          <w:ilvl w:val="0"/>
          <w:numId w:val="3"/>
        </w:numPr>
        <w:ind w:firstLineChars="0"/>
      </w:pPr>
      <w:r>
        <w:rPr>
          <w:rFonts w:hint="eastAsia"/>
        </w:rPr>
        <w:t>项目名称：可按照项目名称模糊查询</w:t>
      </w:r>
    </w:p>
    <w:p>
      <w:pPr>
        <w:pStyle w:val="22"/>
        <w:numPr>
          <w:ilvl w:val="0"/>
          <w:numId w:val="3"/>
        </w:numPr>
        <w:ind w:firstLineChars="0"/>
      </w:pPr>
      <w:r>
        <w:rPr>
          <w:rFonts w:hint="eastAsia"/>
        </w:rPr>
        <w:t>检测类别：下拉显示码表内容，可按照检测类别查询</w:t>
      </w:r>
    </w:p>
    <w:p>
      <w:pPr>
        <w:pStyle w:val="22"/>
        <w:numPr>
          <w:ilvl w:val="0"/>
          <w:numId w:val="3"/>
        </w:numPr>
        <w:ind w:firstLineChars="0"/>
      </w:pPr>
      <w:r>
        <w:rPr>
          <w:rFonts w:hint="eastAsia"/>
        </w:rPr>
        <w:t>调查日期：默认开始日期为空，结束日期为当前日期，可按照调查日期查询</w:t>
      </w:r>
    </w:p>
    <w:p>
      <w:pPr>
        <w:pStyle w:val="22"/>
        <w:numPr>
          <w:ilvl w:val="0"/>
          <w:numId w:val="3"/>
        </w:numPr>
        <w:ind w:firstLineChars="0"/>
      </w:pPr>
      <w:r>
        <w:rPr>
          <w:rFonts w:hint="eastAsia"/>
        </w:rPr>
        <w:t>采样日期：默认开始日期和结束日期都为空，可按照采样日期查询</w:t>
      </w:r>
    </w:p>
    <w:p>
      <w:pPr>
        <w:pStyle w:val="22"/>
        <w:numPr>
          <w:ilvl w:val="0"/>
          <w:numId w:val="3"/>
        </w:numPr>
        <w:ind w:firstLineChars="0"/>
      </w:pPr>
      <w:r>
        <w:rPr>
          <w:rFonts w:hint="eastAsia"/>
        </w:rPr>
        <w:t>状态：默认勾选“待提交”，可按照状态查询</w:t>
      </w:r>
    </w:p>
    <w:p>
      <w:pPr>
        <w:numPr>
          <w:ilvl w:val="0"/>
          <w:numId w:val="7"/>
        </w:numPr>
      </w:pPr>
      <w:r>
        <w:rPr>
          <w:rFonts w:hint="eastAsia"/>
        </w:rPr>
        <w:t>查询结果说明</w:t>
      </w:r>
    </w:p>
    <w:p>
      <w:pPr>
        <w:pStyle w:val="22"/>
        <w:numPr>
          <w:ilvl w:val="0"/>
          <w:numId w:val="3"/>
        </w:numPr>
        <w:ind w:firstLineChars="0"/>
      </w:pPr>
      <w:r>
        <w:rPr>
          <w:rFonts w:hint="eastAsia"/>
        </w:rPr>
        <w:t>显示列包含：用人单位地区、用人单位名称、合同号、任务名称、检测类别、调查日期、采样/测量日期、状态、操作（待提交显示“采样”；已提交显示“详情”）</w:t>
      </w:r>
    </w:p>
    <w:p>
      <w:pPr>
        <w:pStyle w:val="3"/>
      </w:pPr>
      <w:r>
        <w:rPr>
          <w:rFonts w:hint="eastAsia"/>
        </w:rPr>
        <w:t>6.4 采样-危害因素采样列表</w:t>
      </w:r>
    </w:p>
    <w:p>
      <w:r>
        <w:rPr>
          <w:rFonts w:hint="eastAsia"/>
        </w:rPr>
        <w:t>1、点击【采样】按钮，进入采样信息危害因素采样信息列表页面：</w:t>
      </w:r>
    </w:p>
    <w:p>
      <w:r>
        <w:drawing>
          <wp:inline distT="0" distB="0" distL="114300" distR="114300">
            <wp:extent cx="5262245" cy="1130300"/>
            <wp:effectExtent l="0" t="0" r="10795" b="1270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34"/>
                    <a:stretch>
                      <a:fillRect/>
                    </a:stretch>
                  </pic:blipFill>
                  <pic:spPr>
                    <a:xfrm>
                      <a:off x="0" y="0"/>
                      <a:ext cx="5262245" cy="1130300"/>
                    </a:xfrm>
                    <a:prstGeom prst="rect">
                      <a:avLst/>
                    </a:prstGeom>
                    <a:noFill/>
                    <a:ln>
                      <a:noFill/>
                    </a:ln>
                  </pic:spPr>
                </pic:pic>
              </a:graphicData>
            </a:graphic>
          </wp:inline>
        </w:drawing>
      </w:r>
    </w:p>
    <w:p>
      <w:r>
        <w:rPr>
          <w:rFonts w:hint="eastAsia"/>
        </w:rPr>
        <w:t>2、信息点说明</w:t>
      </w:r>
    </w:p>
    <w:p>
      <w:pPr>
        <w:pStyle w:val="22"/>
        <w:numPr>
          <w:ilvl w:val="0"/>
          <w:numId w:val="3"/>
        </w:numPr>
        <w:ind w:firstLineChars="0"/>
      </w:pPr>
      <w:r>
        <w:rPr>
          <w:rFonts w:hint="eastAsia"/>
        </w:rPr>
        <w:t>【添加】：弹出危害因素选择框，显示调查环节所添加的所有危害因素，按照名称去重，已选择过的危害因素不再显示</w:t>
      </w:r>
    </w:p>
    <w:p>
      <w:r>
        <w:drawing>
          <wp:inline distT="0" distB="0" distL="114300" distR="114300">
            <wp:extent cx="5269230" cy="1684020"/>
            <wp:effectExtent l="0" t="0" r="3810" b="762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5"/>
                    <a:stretch>
                      <a:fillRect/>
                    </a:stretch>
                  </pic:blipFill>
                  <pic:spPr>
                    <a:xfrm>
                      <a:off x="0" y="0"/>
                      <a:ext cx="5269230" cy="1684020"/>
                    </a:xfrm>
                    <a:prstGeom prst="rect">
                      <a:avLst/>
                    </a:prstGeom>
                    <a:noFill/>
                    <a:ln>
                      <a:noFill/>
                    </a:ln>
                  </pic:spPr>
                </pic:pic>
              </a:graphicData>
            </a:graphic>
          </wp:inline>
        </w:drawing>
      </w:r>
    </w:p>
    <w:p>
      <w:pPr>
        <w:pStyle w:val="22"/>
        <w:numPr>
          <w:ilvl w:val="0"/>
          <w:numId w:val="3"/>
        </w:numPr>
        <w:ind w:firstLineChars="0"/>
      </w:pPr>
      <w:r>
        <w:rPr>
          <w:rFonts w:hint="eastAsia"/>
        </w:rPr>
        <w:t>【编辑】：未提交的采样危害因素才显示，点击页面跳转至检测项目采样信息编辑页面</w:t>
      </w:r>
    </w:p>
    <w:p>
      <w:pPr>
        <w:pStyle w:val="22"/>
        <w:numPr>
          <w:ilvl w:val="0"/>
          <w:numId w:val="3"/>
        </w:numPr>
        <w:ind w:firstLineChars="0"/>
      </w:pPr>
      <w:r>
        <w:rPr>
          <w:rFonts w:hint="eastAsia"/>
        </w:rPr>
        <w:t>【删除】：未提交的采样危害因素才显示，点击可删除该危害因素及其关联的所有采样信息</w:t>
      </w:r>
    </w:p>
    <w:p>
      <w:pPr>
        <w:pStyle w:val="22"/>
        <w:numPr>
          <w:ilvl w:val="0"/>
          <w:numId w:val="3"/>
        </w:numPr>
        <w:ind w:firstLineChars="0"/>
      </w:pPr>
      <w:r>
        <w:rPr>
          <w:rFonts w:hint="eastAsia"/>
        </w:rPr>
        <w:t>【撤销】：已提交的采样危害因素才显示，点击可撤销并重新编辑采样信息</w:t>
      </w:r>
    </w:p>
    <w:p>
      <w:pPr>
        <w:pStyle w:val="22"/>
        <w:numPr>
          <w:ilvl w:val="0"/>
          <w:numId w:val="3"/>
        </w:numPr>
        <w:ind w:firstLineChars="0"/>
      </w:pPr>
      <w:r>
        <w:rPr>
          <w:rFonts w:hint="eastAsia"/>
        </w:rPr>
        <w:t>【提交】：必须所有页面上显示的危害因素的采样记录提交后才能提交整个节点，提交成功后页面变为详情页面，不可撤销。</w:t>
      </w:r>
    </w:p>
    <w:p>
      <w:pPr>
        <w:pStyle w:val="3"/>
      </w:pPr>
      <w:r>
        <w:rPr>
          <w:rFonts w:hint="eastAsia"/>
        </w:rPr>
        <w:t>6.5 采样-检测项目采样信息</w:t>
      </w:r>
    </w:p>
    <w:p>
      <w:r>
        <w:rPr>
          <w:rFonts w:hint="eastAsia"/>
        </w:rPr>
        <w:t>1、点击【编辑】按钮，进入对应危害因素的采样信息编辑页面：</w:t>
      </w:r>
    </w:p>
    <w:p>
      <w:r>
        <w:drawing>
          <wp:inline distT="0" distB="0" distL="114300" distR="114300">
            <wp:extent cx="5271135" cy="1161415"/>
            <wp:effectExtent l="0" t="0" r="1905" b="1206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6"/>
                    <a:stretch>
                      <a:fillRect/>
                    </a:stretch>
                  </pic:blipFill>
                  <pic:spPr>
                    <a:xfrm>
                      <a:off x="0" y="0"/>
                      <a:ext cx="5271135" cy="1161415"/>
                    </a:xfrm>
                    <a:prstGeom prst="rect">
                      <a:avLst/>
                    </a:prstGeom>
                    <a:noFill/>
                    <a:ln>
                      <a:noFill/>
                    </a:ln>
                  </pic:spPr>
                </pic:pic>
              </a:graphicData>
            </a:graphic>
          </wp:inline>
        </w:drawing>
      </w:r>
    </w:p>
    <w:p>
      <w:r>
        <w:rPr>
          <w:rFonts w:hint="eastAsia"/>
        </w:rPr>
        <w:t>2、信息点说明（以噪声为例</w:t>
      </w:r>
      <w:r>
        <w:rPr>
          <w:rFonts w:hint="eastAsia"/>
          <w:lang w:eastAsia="zh-CN"/>
        </w:rPr>
        <w:t>，</w:t>
      </w:r>
      <w:r>
        <w:rPr>
          <w:rFonts w:hint="eastAsia"/>
          <w:lang w:val="en-US" w:eastAsia="zh-CN"/>
        </w:rPr>
        <w:t>化学因素类似</w:t>
      </w:r>
      <w:r>
        <w:rPr>
          <w:rFonts w:hint="eastAsia"/>
        </w:rPr>
        <w:t>）</w:t>
      </w:r>
    </w:p>
    <w:p>
      <w:pPr>
        <w:pStyle w:val="22"/>
        <w:numPr>
          <w:ilvl w:val="0"/>
          <w:numId w:val="3"/>
        </w:numPr>
        <w:ind w:firstLineChars="0"/>
      </w:pPr>
      <w:r>
        <w:rPr>
          <w:rFonts w:hint="eastAsia"/>
        </w:rPr>
        <w:t>【暂存】：保存页面填写的采样信息，不符合逻辑的弹出对应提示信息</w:t>
      </w:r>
    </w:p>
    <w:p>
      <w:pPr>
        <w:pStyle w:val="22"/>
        <w:numPr>
          <w:ilvl w:val="0"/>
          <w:numId w:val="3"/>
        </w:numPr>
        <w:ind w:firstLineChars="0"/>
      </w:pPr>
      <w:r>
        <w:rPr>
          <w:rFonts w:hint="eastAsia"/>
        </w:rPr>
        <w:t>【提交】：校验必填信息不允许为空，校验必须有一个检测项目，每个检测项目下必须有一个岗位，一个岗位下必须有一条采样记录，校验采样日期必须大于等于调查日期，校验样品编号不允许重复等逻辑；提交成功则页面跳转反馈危害因素采样列表页面。</w:t>
      </w:r>
    </w:p>
    <w:p>
      <w:pPr>
        <w:pStyle w:val="22"/>
        <w:numPr>
          <w:ilvl w:val="0"/>
          <w:numId w:val="3"/>
        </w:numPr>
        <w:ind w:firstLineChars="0"/>
      </w:pPr>
      <w:r>
        <w:rPr>
          <w:rFonts w:hint="eastAsia"/>
        </w:rPr>
        <w:t>危害因素：显示上个页面进入编辑页面对应的危害因素名称，只读</w:t>
      </w:r>
    </w:p>
    <w:p>
      <w:pPr>
        <w:pStyle w:val="22"/>
        <w:numPr>
          <w:ilvl w:val="0"/>
          <w:numId w:val="3"/>
        </w:numPr>
        <w:ind w:firstLineChars="0"/>
      </w:pPr>
      <w:r>
        <w:rPr>
          <w:rFonts w:hint="eastAsia"/>
        </w:rPr>
        <w:t>添加检测项目：点击弹出检测项目选择框，显示该危害因素下本单位具有检测能力的检测项目，已选择的检测项目不再显示</w:t>
      </w:r>
    </w:p>
    <w:p>
      <w:r>
        <w:drawing>
          <wp:inline distT="0" distB="0" distL="114300" distR="114300">
            <wp:extent cx="5271135" cy="2157730"/>
            <wp:effectExtent l="0" t="0" r="1905" b="635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7"/>
                    <a:stretch>
                      <a:fillRect/>
                    </a:stretch>
                  </pic:blipFill>
                  <pic:spPr>
                    <a:xfrm>
                      <a:off x="0" y="0"/>
                      <a:ext cx="5271135" cy="2157730"/>
                    </a:xfrm>
                    <a:prstGeom prst="rect">
                      <a:avLst/>
                    </a:prstGeom>
                    <a:noFill/>
                    <a:ln>
                      <a:noFill/>
                    </a:ln>
                  </pic:spPr>
                </pic:pic>
              </a:graphicData>
            </a:graphic>
          </wp:inline>
        </w:drawing>
      </w:r>
    </w:p>
    <w:p>
      <w:pPr>
        <w:pStyle w:val="22"/>
        <w:numPr>
          <w:ilvl w:val="0"/>
          <w:numId w:val="3"/>
        </w:numPr>
        <w:ind w:firstLineChars="0"/>
      </w:pPr>
      <w:r>
        <w:rPr>
          <w:rFonts w:hint="eastAsia"/>
        </w:rPr>
        <w:t>添加岗位：点击弹出岗位选择框，显示现场调查环节接触该危害因素的岗位/工种，按名称去重显示，已选择的岗位不再出现</w:t>
      </w:r>
    </w:p>
    <w:p>
      <w:r>
        <w:drawing>
          <wp:inline distT="0" distB="0" distL="114300" distR="114300">
            <wp:extent cx="5267325" cy="1699260"/>
            <wp:effectExtent l="0" t="0" r="5715" b="762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8"/>
                    <a:stretch>
                      <a:fillRect/>
                    </a:stretch>
                  </pic:blipFill>
                  <pic:spPr>
                    <a:xfrm>
                      <a:off x="0" y="0"/>
                      <a:ext cx="5267325" cy="1699260"/>
                    </a:xfrm>
                    <a:prstGeom prst="rect">
                      <a:avLst/>
                    </a:prstGeom>
                    <a:noFill/>
                    <a:ln>
                      <a:noFill/>
                    </a:ln>
                  </pic:spPr>
                </pic:pic>
              </a:graphicData>
            </a:graphic>
          </wp:inline>
        </w:drawing>
      </w:r>
    </w:p>
    <w:p>
      <w:pPr>
        <w:pStyle w:val="22"/>
        <w:numPr>
          <w:ilvl w:val="0"/>
          <w:numId w:val="3"/>
        </w:numPr>
        <w:ind w:firstLineChars="0"/>
      </w:pPr>
      <w:r>
        <w:rPr>
          <w:rFonts w:hint="eastAsia"/>
        </w:rPr>
        <w:t>测量次数：必填，默认测量次数3次</w:t>
      </w:r>
    </w:p>
    <w:p>
      <w:pPr>
        <w:pStyle w:val="22"/>
        <w:numPr>
          <w:ilvl w:val="0"/>
          <w:numId w:val="3"/>
        </w:numPr>
        <w:ind w:firstLineChars="0"/>
      </w:pPr>
      <w:r>
        <w:rPr>
          <w:rFonts w:hint="eastAsia"/>
        </w:rPr>
        <w:t>等效声级标准：必填，下拉框选择：8h等效声级或40h等效声级</w:t>
      </w:r>
    </w:p>
    <w:p>
      <w:pPr>
        <w:pStyle w:val="22"/>
        <w:numPr>
          <w:ilvl w:val="0"/>
          <w:numId w:val="3"/>
        </w:numPr>
        <w:ind w:firstLineChars="0"/>
      </w:pPr>
      <w:r>
        <w:rPr>
          <w:rFonts w:hint="eastAsia"/>
        </w:rPr>
        <w:t>【删除项目】：点击可删除该检测项目及其关联的所有采样信息，删除后可在添加检测项目弹出框内再次选择</w:t>
      </w:r>
    </w:p>
    <w:p>
      <w:pPr>
        <w:pStyle w:val="22"/>
        <w:numPr>
          <w:ilvl w:val="0"/>
          <w:numId w:val="3"/>
        </w:numPr>
        <w:ind w:firstLineChars="0"/>
      </w:pPr>
      <w:r>
        <w:rPr>
          <w:rFonts w:hint="eastAsia"/>
        </w:rPr>
        <w:t>添加测量点：点击弹出添加采样点配置框，只能勾选该危害因素支持的采样类型，根据需要输入填报的采样记录的数量</w:t>
      </w:r>
    </w:p>
    <w:p>
      <w:pPr>
        <w:jc w:val="center"/>
      </w:pPr>
      <w:r>
        <w:drawing>
          <wp:inline distT="0" distB="0" distL="0" distR="0">
            <wp:extent cx="2368550" cy="1406525"/>
            <wp:effectExtent l="9525" t="9525" r="14605" b="165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73358" cy="1406525"/>
                    </a:xfrm>
                    <a:prstGeom prst="rect">
                      <a:avLst/>
                    </a:prstGeom>
                    <a:ln w="6350">
                      <a:solidFill>
                        <a:schemeClr val="tx1"/>
                      </a:solidFill>
                    </a:ln>
                  </pic:spPr>
                </pic:pic>
              </a:graphicData>
            </a:graphic>
          </wp:inline>
        </w:drawing>
      </w:r>
    </w:p>
    <w:p>
      <w:pPr>
        <w:pStyle w:val="22"/>
        <w:numPr>
          <w:ilvl w:val="0"/>
          <w:numId w:val="3"/>
        </w:numPr>
        <w:ind w:firstLineChars="0"/>
      </w:pPr>
      <w:r>
        <w:rPr>
          <w:rFonts w:hint="eastAsia"/>
        </w:rPr>
        <w:t>【删除岗位】：点击可删除该岗位及其关联的所有采样信息，删除后可在添加岗位弹出框内再次选择</w:t>
      </w:r>
    </w:p>
    <w:p>
      <w:pPr>
        <w:pStyle w:val="22"/>
        <w:numPr>
          <w:ilvl w:val="0"/>
          <w:numId w:val="3"/>
        </w:numPr>
        <w:ind w:firstLineChars="0"/>
      </w:pPr>
      <w:r>
        <w:rPr>
          <w:rFonts w:hint="eastAsia"/>
        </w:rPr>
        <w:t>测量编号：必填，本检测机构内唯一</w:t>
      </w:r>
    </w:p>
    <w:p>
      <w:pPr>
        <w:pStyle w:val="22"/>
        <w:numPr>
          <w:ilvl w:val="0"/>
          <w:numId w:val="3"/>
        </w:numPr>
        <w:ind w:firstLineChars="0"/>
      </w:pPr>
      <w:r>
        <w:rPr>
          <w:rFonts w:hint="eastAsia"/>
        </w:rPr>
        <w:t>测量类型：显示添加采样点勾选的采样类型，只读</w:t>
      </w:r>
    </w:p>
    <w:p>
      <w:pPr>
        <w:pStyle w:val="22"/>
        <w:numPr>
          <w:ilvl w:val="0"/>
          <w:numId w:val="3"/>
        </w:numPr>
        <w:ind w:firstLineChars="0"/>
      </w:pPr>
      <w:r>
        <w:rPr>
          <w:rFonts w:hint="eastAsia"/>
        </w:rPr>
        <w:t>测量地点：测量类型为定点时显示且必填</w:t>
      </w:r>
    </w:p>
    <w:p>
      <w:pPr>
        <w:pStyle w:val="22"/>
        <w:numPr>
          <w:ilvl w:val="0"/>
          <w:numId w:val="3"/>
        </w:numPr>
        <w:ind w:firstLineChars="0"/>
      </w:pPr>
      <w:r>
        <w:rPr>
          <w:rFonts w:hint="eastAsia"/>
        </w:rPr>
        <w:t>测量对象： 测量类型为个人时显示且必填</w:t>
      </w:r>
    </w:p>
    <w:p>
      <w:pPr>
        <w:pStyle w:val="22"/>
        <w:numPr>
          <w:ilvl w:val="0"/>
          <w:numId w:val="3"/>
        </w:numPr>
        <w:ind w:firstLineChars="0"/>
      </w:pPr>
      <w:r>
        <w:rPr>
          <w:rFonts w:hint="eastAsia"/>
        </w:rPr>
        <w:t>测量日期：必填，大于等于调查日期，最大可选择当前日期</w:t>
      </w:r>
    </w:p>
    <w:p>
      <w:pPr>
        <w:pStyle w:val="22"/>
        <w:numPr>
          <w:ilvl w:val="0"/>
          <w:numId w:val="3"/>
        </w:numPr>
        <w:ind w:firstLineChars="0"/>
      </w:pPr>
      <w:r>
        <w:rPr>
          <w:rFonts w:hint="eastAsia"/>
        </w:rPr>
        <w:t>测量时间段：非必填，结束时间必须大于等于开始时间，必须同时为空或同时有值，时间可手动填写</w:t>
      </w:r>
    </w:p>
    <w:p>
      <w:pPr>
        <w:pStyle w:val="22"/>
        <w:numPr>
          <w:ilvl w:val="0"/>
          <w:numId w:val="3"/>
        </w:numPr>
        <w:ind w:firstLineChars="0"/>
      </w:pPr>
      <w:r>
        <w:rPr>
          <w:rFonts w:hint="eastAsia"/>
        </w:rPr>
        <w:t>接触时间（h/d）：非必填，只能输入数值，小于等于24</w:t>
      </w:r>
    </w:p>
    <w:p>
      <w:pPr>
        <w:pStyle w:val="22"/>
        <w:numPr>
          <w:ilvl w:val="0"/>
          <w:numId w:val="3"/>
        </w:numPr>
        <w:ind w:firstLineChars="0"/>
      </w:pPr>
      <w:r>
        <w:rPr>
          <w:rFonts w:hint="eastAsia"/>
        </w:rPr>
        <w:t>【删除】：点击删除单条采样记录</w:t>
      </w:r>
    </w:p>
    <w:p>
      <w:pPr>
        <w:pStyle w:val="2"/>
      </w:pPr>
      <w:r>
        <w:rPr>
          <w:rFonts w:hint="eastAsia"/>
        </w:rPr>
        <w:t>第七部分 检测报告</w:t>
      </w:r>
    </w:p>
    <w:p>
      <w:pPr>
        <w:pStyle w:val="3"/>
      </w:pPr>
      <w:r>
        <w:rPr>
          <w:rFonts w:hint="eastAsia"/>
        </w:rPr>
        <w:t>7.1 功能说明</w:t>
      </w:r>
    </w:p>
    <w:p>
      <w:pPr>
        <w:ind w:firstLine="480" w:firstLineChars="200"/>
      </w:pPr>
      <w:r>
        <w:rPr>
          <w:rFonts w:hint="eastAsia"/>
        </w:rPr>
        <w:t>用于职业卫生技术服务机构对已完成的采样的记录录入检测结果信息</w:t>
      </w:r>
    </w:p>
    <w:p>
      <w:pPr>
        <w:pStyle w:val="3"/>
      </w:pPr>
      <w:r>
        <w:rPr>
          <w:rFonts w:hint="eastAsia"/>
        </w:rPr>
        <w:t>7.2 菜单</w:t>
      </w:r>
    </w:p>
    <w:p>
      <w:pPr>
        <w:pStyle w:val="22"/>
        <w:ind w:left="420" w:firstLine="0" w:firstLineChars="0"/>
      </w:pPr>
      <w:r>
        <w:rPr>
          <w:rFonts w:hint="eastAsia"/>
        </w:rPr>
        <w:t>职业卫生技术服务机构登录系统后，点击【检测报告】进入操作界面</w:t>
      </w:r>
    </w:p>
    <w:p>
      <w:pPr>
        <w:jc w:val="center"/>
      </w:pPr>
      <w:r>
        <w:drawing>
          <wp:inline distT="0" distB="0" distL="114300" distR="114300">
            <wp:extent cx="5268595" cy="1583055"/>
            <wp:effectExtent l="0" t="0" r="444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0"/>
                    <a:stretch>
                      <a:fillRect/>
                    </a:stretch>
                  </pic:blipFill>
                  <pic:spPr>
                    <a:xfrm>
                      <a:off x="0" y="0"/>
                      <a:ext cx="5268595" cy="1583055"/>
                    </a:xfrm>
                    <a:prstGeom prst="rect">
                      <a:avLst/>
                    </a:prstGeom>
                    <a:noFill/>
                    <a:ln>
                      <a:noFill/>
                    </a:ln>
                  </pic:spPr>
                </pic:pic>
              </a:graphicData>
            </a:graphic>
          </wp:inline>
        </w:drawing>
      </w:r>
    </w:p>
    <w:p>
      <w:pPr>
        <w:pStyle w:val="3"/>
      </w:pPr>
      <w:r>
        <w:rPr>
          <w:rFonts w:hint="eastAsia"/>
        </w:rPr>
        <w:t>7.3 主页面</w:t>
      </w:r>
    </w:p>
    <w:p>
      <w:r>
        <w:rPr>
          <w:rFonts w:hint="eastAsia"/>
        </w:rPr>
        <w:t>1、主界面显示如下图：</w:t>
      </w:r>
    </w:p>
    <w:p>
      <w:r>
        <w:drawing>
          <wp:inline distT="0" distB="0" distL="0" distR="0">
            <wp:extent cx="5274310" cy="1355725"/>
            <wp:effectExtent l="19050" t="19050" r="2159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5274310" cy="1355815"/>
                    </a:xfrm>
                    <a:prstGeom prst="rect">
                      <a:avLst/>
                    </a:prstGeom>
                    <a:ln w="6350">
                      <a:solidFill>
                        <a:schemeClr val="tx1"/>
                      </a:solidFill>
                    </a:ln>
                  </pic:spPr>
                </pic:pic>
              </a:graphicData>
            </a:graphic>
          </wp:inline>
        </w:drawing>
      </w:r>
    </w:p>
    <w:p>
      <w:pPr>
        <w:numPr>
          <w:ilvl w:val="0"/>
          <w:numId w:val="8"/>
        </w:numPr>
      </w:pPr>
      <w:r>
        <w:rPr>
          <w:rFonts w:hint="eastAsia"/>
        </w:rPr>
        <w:t>操作按钮说明</w:t>
      </w:r>
    </w:p>
    <w:p>
      <w:pPr>
        <w:pStyle w:val="22"/>
        <w:numPr>
          <w:ilvl w:val="0"/>
          <w:numId w:val="3"/>
        </w:numPr>
        <w:ind w:firstLineChars="0"/>
      </w:pPr>
      <w:r>
        <w:rPr>
          <w:rFonts w:hint="eastAsia"/>
        </w:rPr>
        <w:t>查询：根据查询条件显示本机构对已提交的采样记录进行检测录入的记录</w:t>
      </w:r>
    </w:p>
    <w:p>
      <w:pPr>
        <w:numPr>
          <w:ilvl w:val="0"/>
          <w:numId w:val="8"/>
        </w:numPr>
      </w:pPr>
      <w:r>
        <w:rPr>
          <w:rFonts w:hint="eastAsia"/>
        </w:rPr>
        <w:t>查询条件说明</w:t>
      </w:r>
    </w:p>
    <w:p>
      <w:pPr>
        <w:pStyle w:val="22"/>
        <w:numPr>
          <w:ilvl w:val="0"/>
          <w:numId w:val="3"/>
        </w:numPr>
        <w:ind w:firstLineChars="0"/>
      </w:pPr>
      <w:r>
        <w:rPr>
          <w:rFonts w:hint="eastAsia"/>
        </w:rPr>
        <w:t>用人单位地区：默认显示重庆市，拉下显示重庆市下所有地区</w:t>
      </w:r>
    </w:p>
    <w:p>
      <w:pPr>
        <w:pStyle w:val="22"/>
        <w:numPr>
          <w:ilvl w:val="0"/>
          <w:numId w:val="3"/>
        </w:numPr>
        <w:ind w:firstLineChars="0"/>
      </w:pPr>
      <w:r>
        <w:rPr>
          <w:rFonts w:hint="eastAsia"/>
        </w:rPr>
        <w:t>用人单位名称：可按照用人单位名称模糊查询</w:t>
      </w:r>
    </w:p>
    <w:p>
      <w:pPr>
        <w:pStyle w:val="22"/>
        <w:numPr>
          <w:ilvl w:val="0"/>
          <w:numId w:val="3"/>
        </w:numPr>
        <w:ind w:firstLineChars="0"/>
      </w:pPr>
      <w:r>
        <w:rPr>
          <w:rFonts w:hint="eastAsia"/>
        </w:rPr>
        <w:t>社会信用代码：可按照社会信用代码模糊查询</w:t>
      </w:r>
    </w:p>
    <w:p>
      <w:pPr>
        <w:pStyle w:val="22"/>
        <w:numPr>
          <w:ilvl w:val="0"/>
          <w:numId w:val="3"/>
        </w:numPr>
        <w:ind w:firstLineChars="0"/>
      </w:pPr>
      <w:r>
        <w:rPr>
          <w:rFonts w:hint="eastAsia"/>
        </w:rPr>
        <w:t>项目名称：可按照项目名称模糊查询</w:t>
      </w:r>
    </w:p>
    <w:p>
      <w:pPr>
        <w:pStyle w:val="22"/>
        <w:numPr>
          <w:ilvl w:val="0"/>
          <w:numId w:val="3"/>
        </w:numPr>
        <w:ind w:firstLineChars="0"/>
      </w:pPr>
      <w:r>
        <w:rPr>
          <w:rFonts w:hint="eastAsia"/>
        </w:rPr>
        <w:t>检测类别：下拉显示码表内容，可按照检测类别查询</w:t>
      </w:r>
    </w:p>
    <w:p>
      <w:pPr>
        <w:pStyle w:val="22"/>
        <w:numPr>
          <w:ilvl w:val="0"/>
          <w:numId w:val="3"/>
        </w:numPr>
        <w:ind w:firstLineChars="0"/>
      </w:pPr>
      <w:r>
        <w:rPr>
          <w:rFonts w:hint="eastAsia"/>
        </w:rPr>
        <w:t>采样日期：默认开始日期为空，结束日期为当前日期，可按照采样日期查询</w:t>
      </w:r>
    </w:p>
    <w:p>
      <w:pPr>
        <w:pStyle w:val="22"/>
        <w:numPr>
          <w:ilvl w:val="0"/>
          <w:numId w:val="3"/>
        </w:numPr>
        <w:ind w:firstLineChars="0"/>
      </w:pPr>
      <w:r>
        <w:rPr>
          <w:rFonts w:hint="eastAsia"/>
        </w:rPr>
        <w:t>检测日期：默认开始日期和结束日期都为空，可按照检测日期查询</w:t>
      </w:r>
    </w:p>
    <w:p>
      <w:pPr>
        <w:pStyle w:val="22"/>
        <w:numPr>
          <w:ilvl w:val="0"/>
          <w:numId w:val="3"/>
        </w:numPr>
        <w:ind w:firstLineChars="0"/>
      </w:pPr>
      <w:r>
        <w:rPr>
          <w:rFonts w:hint="eastAsia"/>
        </w:rPr>
        <w:t>状态：默认勾选“待提交”，可按照状态查询</w:t>
      </w:r>
    </w:p>
    <w:p>
      <w:pPr>
        <w:numPr>
          <w:ilvl w:val="0"/>
          <w:numId w:val="8"/>
        </w:numPr>
      </w:pPr>
      <w:r>
        <w:rPr>
          <w:rFonts w:hint="eastAsia"/>
        </w:rPr>
        <w:t>查询结果说明</w:t>
      </w:r>
    </w:p>
    <w:p>
      <w:pPr>
        <w:pStyle w:val="22"/>
        <w:numPr>
          <w:ilvl w:val="0"/>
          <w:numId w:val="3"/>
        </w:numPr>
        <w:ind w:firstLineChars="0"/>
      </w:pPr>
      <w:r>
        <w:rPr>
          <w:rFonts w:hint="eastAsia"/>
        </w:rPr>
        <w:t>显示列包含：用人单位地区、用人单位名称、合同号、任务名称、检测类别、采样/测量日期、检测日期、状态、操作（待提交显示“录入”；已提交显示“详情”）</w:t>
      </w:r>
    </w:p>
    <w:p>
      <w:pPr>
        <w:pStyle w:val="3"/>
      </w:pPr>
      <w:r>
        <w:rPr>
          <w:rFonts w:hint="eastAsia"/>
        </w:rPr>
        <w:t>7.4 检测结果-录入列表</w:t>
      </w:r>
    </w:p>
    <w:p>
      <w:r>
        <w:rPr>
          <w:rFonts w:hint="eastAsia"/>
        </w:rPr>
        <w:t>1、点击【录入】按钮，进入检测报告页面：</w:t>
      </w:r>
    </w:p>
    <w:p>
      <w:r>
        <w:drawing>
          <wp:inline distT="0" distB="0" distL="114300" distR="114300">
            <wp:extent cx="5274310" cy="943610"/>
            <wp:effectExtent l="0" t="0" r="13970" b="127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42"/>
                    <a:stretch>
                      <a:fillRect/>
                    </a:stretch>
                  </pic:blipFill>
                  <pic:spPr>
                    <a:xfrm>
                      <a:off x="0" y="0"/>
                      <a:ext cx="5274310" cy="943610"/>
                    </a:xfrm>
                    <a:prstGeom prst="rect">
                      <a:avLst/>
                    </a:prstGeom>
                    <a:noFill/>
                    <a:ln>
                      <a:noFill/>
                    </a:ln>
                  </pic:spPr>
                </pic:pic>
              </a:graphicData>
            </a:graphic>
          </wp:inline>
        </w:drawing>
      </w:r>
    </w:p>
    <w:p>
      <w:r>
        <w:rPr>
          <w:rFonts w:hint="eastAsia"/>
        </w:rPr>
        <w:t>2、信息点说明</w:t>
      </w:r>
    </w:p>
    <w:p>
      <w:pPr>
        <w:pStyle w:val="22"/>
        <w:numPr>
          <w:ilvl w:val="0"/>
          <w:numId w:val="3"/>
        </w:numPr>
        <w:ind w:firstLineChars="0"/>
      </w:pPr>
      <w:r>
        <w:rPr>
          <w:rFonts w:hint="eastAsia"/>
        </w:rPr>
        <w:t>【提交】：当页面上所有检测项目结果都已提交时才能提交检测报告节点。</w:t>
      </w:r>
    </w:p>
    <w:p>
      <w:pPr>
        <w:pStyle w:val="22"/>
        <w:numPr>
          <w:ilvl w:val="0"/>
          <w:numId w:val="3"/>
        </w:numPr>
        <w:ind w:firstLineChars="0"/>
      </w:pPr>
      <w:r>
        <w:rPr>
          <w:rFonts w:hint="eastAsia"/>
        </w:rPr>
        <w:t>基本信息：显示用人单位名称、签约日期、检测类别，只读显示</w:t>
      </w:r>
    </w:p>
    <w:p>
      <w:pPr>
        <w:pStyle w:val="22"/>
        <w:numPr>
          <w:ilvl w:val="0"/>
          <w:numId w:val="3"/>
        </w:numPr>
        <w:ind w:firstLineChars="0"/>
      </w:pPr>
      <w:r>
        <w:rPr>
          <w:rFonts w:hint="eastAsia"/>
        </w:rPr>
        <w:t>检测任务编号：必填，</w:t>
      </w:r>
      <w:r>
        <w:rPr>
          <w:rFonts w:hint="eastAsia"/>
          <w:b/>
          <w:bCs/>
        </w:rPr>
        <w:t>录入实际报告对应的任务编号</w:t>
      </w:r>
    </w:p>
    <w:p>
      <w:pPr>
        <w:pStyle w:val="22"/>
        <w:numPr>
          <w:ilvl w:val="0"/>
          <w:numId w:val="3"/>
        </w:numPr>
        <w:ind w:firstLineChars="0"/>
      </w:pPr>
      <w:r>
        <w:rPr>
          <w:rFonts w:hint="eastAsia"/>
        </w:rPr>
        <w:t>检测信息：显示采样环节提交的危害因素和检测项目</w:t>
      </w:r>
    </w:p>
    <w:p>
      <w:pPr>
        <w:pStyle w:val="22"/>
        <w:numPr>
          <w:ilvl w:val="0"/>
          <w:numId w:val="3"/>
        </w:numPr>
        <w:ind w:firstLineChars="0"/>
      </w:pPr>
      <w:r>
        <w:rPr>
          <w:rFonts w:hint="eastAsia"/>
        </w:rPr>
        <w:t>检测日期：显示明细中录入的检测日期</w:t>
      </w:r>
    </w:p>
    <w:p>
      <w:pPr>
        <w:pStyle w:val="22"/>
        <w:numPr>
          <w:ilvl w:val="0"/>
          <w:numId w:val="3"/>
        </w:numPr>
        <w:ind w:firstLineChars="0"/>
      </w:pPr>
      <w:r>
        <w:rPr>
          <w:rFonts w:hint="eastAsia"/>
        </w:rPr>
        <w:t>检测依据：显示明细中录入的检测依据</w:t>
      </w:r>
    </w:p>
    <w:p>
      <w:pPr>
        <w:pStyle w:val="22"/>
        <w:numPr>
          <w:ilvl w:val="0"/>
          <w:numId w:val="3"/>
        </w:numPr>
        <w:ind w:firstLineChars="0"/>
      </w:pPr>
      <w:r>
        <w:rPr>
          <w:rFonts w:hint="eastAsia"/>
        </w:rPr>
        <w:t>样品合格数：统计检报告录入明细中的样品合格数</w:t>
      </w:r>
    </w:p>
    <w:p>
      <w:pPr>
        <w:pStyle w:val="22"/>
        <w:numPr>
          <w:ilvl w:val="0"/>
          <w:numId w:val="3"/>
        </w:numPr>
        <w:ind w:firstLineChars="0"/>
      </w:pPr>
      <w:r>
        <w:rPr>
          <w:rFonts w:hint="eastAsia"/>
        </w:rPr>
        <w:t>样品不合格数：统计检报告录入明细中的样品不合格数，大于0的标红显示</w:t>
      </w:r>
    </w:p>
    <w:p>
      <w:pPr>
        <w:pStyle w:val="22"/>
        <w:numPr>
          <w:ilvl w:val="0"/>
          <w:numId w:val="3"/>
        </w:numPr>
        <w:ind w:firstLineChars="0"/>
      </w:pPr>
      <w:r>
        <w:rPr>
          <w:rFonts w:hint="eastAsia"/>
        </w:rPr>
        <w:t>状态：待提交（标红显示）、已提交</w:t>
      </w:r>
    </w:p>
    <w:p>
      <w:pPr>
        <w:pStyle w:val="22"/>
        <w:numPr>
          <w:ilvl w:val="0"/>
          <w:numId w:val="3"/>
        </w:numPr>
        <w:ind w:firstLineChars="0"/>
      </w:pPr>
      <w:r>
        <w:rPr>
          <w:rFonts w:hint="eastAsia"/>
        </w:rPr>
        <w:t>操作：明细状态待提交，显示“修改”按钮；明细状态已提交，显示“查看”按钮</w:t>
      </w:r>
    </w:p>
    <w:p>
      <w:pPr>
        <w:pStyle w:val="3"/>
      </w:pPr>
      <w:r>
        <w:rPr>
          <w:rFonts w:hint="eastAsia"/>
        </w:rPr>
        <w:t>7.5 检测项目-结果明细</w:t>
      </w:r>
    </w:p>
    <w:p>
      <w:r>
        <w:rPr>
          <w:rFonts w:hint="eastAsia"/>
        </w:rPr>
        <w:t>1、点击【修改】按钮，进入检测报告录入页面：</w:t>
      </w:r>
    </w:p>
    <w:p>
      <w:r>
        <w:drawing>
          <wp:inline distT="0" distB="0" distL="114300" distR="114300">
            <wp:extent cx="5266055" cy="1321435"/>
            <wp:effectExtent l="0" t="0" r="6985" b="444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43"/>
                    <a:stretch>
                      <a:fillRect/>
                    </a:stretch>
                  </pic:blipFill>
                  <pic:spPr>
                    <a:xfrm>
                      <a:off x="0" y="0"/>
                      <a:ext cx="5266055" cy="1321435"/>
                    </a:xfrm>
                    <a:prstGeom prst="rect">
                      <a:avLst/>
                    </a:prstGeom>
                    <a:noFill/>
                    <a:ln>
                      <a:noFill/>
                    </a:ln>
                  </pic:spPr>
                </pic:pic>
              </a:graphicData>
            </a:graphic>
          </wp:inline>
        </w:drawing>
      </w:r>
    </w:p>
    <w:p>
      <w:r>
        <w:rPr>
          <w:rFonts w:hint="eastAsia"/>
        </w:rPr>
        <w:t>2、【基本信息】信息点说明</w:t>
      </w:r>
    </w:p>
    <w:p>
      <w:pPr>
        <w:pStyle w:val="22"/>
        <w:numPr>
          <w:ilvl w:val="0"/>
          <w:numId w:val="3"/>
        </w:numPr>
        <w:ind w:firstLineChars="0"/>
      </w:pPr>
      <w:r>
        <w:rPr>
          <w:rFonts w:hint="eastAsia"/>
        </w:rPr>
        <w:t>检测项目：默认显示采样环节添加的检测项目名称+说明，只读</w:t>
      </w:r>
    </w:p>
    <w:p>
      <w:pPr>
        <w:pStyle w:val="22"/>
        <w:numPr>
          <w:ilvl w:val="0"/>
          <w:numId w:val="3"/>
        </w:numPr>
        <w:ind w:firstLineChars="0"/>
      </w:pPr>
      <w:r>
        <w:rPr>
          <w:rFonts w:hint="eastAsia"/>
        </w:rPr>
        <w:t>职业接触限值：显示该检测项目配置的接触限值，多个顿号隔开显示，只读</w:t>
      </w:r>
    </w:p>
    <w:p>
      <w:pPr>
        <w:pStyle w:val="22"/>
        <w:numPr>
          <w:ilvl w:val="0"/>
          <w:numId w:val="3"/>
        </w:numPr>
        <w:ind w:firstLineChars="0"/>
      </w:pPr>
      <w:r>
        <w:rPr>
          <w:rFonts w:hint="eastAsia"/>
        </w:rPr>
        <w:t>检测日期：必填，默认为当天，可手动修改为实际检测日期</w:t>
      </w:r>
    </w:p>
    <w:p>
      <w:pPr>
        <w:pStyle w:val="22"/>
        <w:numPr>
          <w:ilvl w:val="0"/>
          <w:numId w:val="3"/>
        </w:numPr>
        <w:ind w:firstLineChars="0"/>
      </w:pPr>
      <w:r>
        <w:rPr>
          <w:rFonts w:hint="eastAsia"/>
        </w:rPr>
        <w:t>检测依据：下拉显示本机构检测能力维护的该检测项目的检测依据+检测方法，单选、必选</w:t>
      </w:r>
    </w:p>
    <w:p>
      <w:pPr>
        <w:pStyle w:val="22"/>
        <w:numPr>
          <w:ilvl w:val="0"/>
          <w:numId w:val="3"/>
        </w:numPr>
        <w:ind w:firstLineChars="0"/>
      </w:pPr>
      <w:r>
        <w:t>检测仪器名称、型号及编号</w:t>
      </w:r>
      <w:r>
        <w:rPr>
          <w:rFonts w:hint="eastAsia"/>
        </w:rPr>
        <w:t xml:space="preserve">：点击弹出仪器选择框，显示本单位提交的职业卫生技术服务机构资质中维护的仪器信息（不过滤停用）；可多选，必选一个；选择后显示“仪器名称：仪器型号（仪器编号）”，多个中文顿号分隔显示。 </w:t>
      </w:r>
    </w:p>
    <w:p>
      <w:pPr>
        <w:pStyle w:val="22"/>
        <w:numPr>
          <w:ilvl w:val="0"/>
          <w:numId w:val="3"/>
        </w:numPr>
        <w:ind w:firstLineChars="0"/>
      </w:pPr>
      <w:r>
        <w:rPr>
          <w:rFonts w:hint="eastAsia"/>
        </w:rPr>
        <w:t>检测方式：必填，单选</w:t>
      </w:r>
    </w:p>
    <w:p>
      <w:pPr>
        <w:numPr>
          <w:ilvl w:val="0"/>
          <w:numId w:val="4"/>
        </w:numPr>
      </w:pPr>
      <w:r>
        <w:rPr>
          <w:rFonts w:hint="eastAsia"/>
        </w:rPr>
        <w:t>【检测结果】信息点说明</w:t>
      </w:r>
    </w:p>
    <w:p>
      <w:pPr>
        <w:numPr>
          <w:ilvl w:val="0"/>
          <w:numId w:val="9"/>
        </w:numPr>
      </w:pPr>
      <w:r>
        <w:rPr>
          <w:rFonts w:hint="eastAsia"/>
        </w:rPr>
        <w:t>岗位/工种：相同的岗位/工种合并显示，只读</w:t>
      </w:r>
    </w:p>
    <w:p>
      <w:pPr>
        <w:numPr>
          <w:ilvl w:val="0"/>
          <w:numId w:val="9"/>
        </w:numPr>
      </w:pPr>
      <w:r>
        <w:rPr>
          <w:rFonts w:hint="eastAsia"/>
        </w:rPr>
        <w:t>测量类型：相同岗位/工种下的相同采样类型合并显示，只读</w:t>
      </w:r>
    </w:p>
    <w:p>
      <w:pPr>
        <w:numPr>
          <w:ilvl w:val="0"/>
          <w:numId w:val="9"/>
        </w:numPr>
      </w:pPr>
      <w:r>
        <w:rPr>
          <w:rFonts w:hint="eastAsia"/>
        </w:rPr>
        <w:t>样品编号：默认显示样品的编号，只读</w:t>
      </w:r>
    </w:p>
    <w:p>
      <w:pPr>
        <w:numPr>
          <w:ilvl w:val="0"/>
          <w:numId w:val="9"/>
        </w:numPr>
      </w:pPr>
      <w:r>
        <w:rPr>
          <w:rFonts w:hint="eastAsia"/>
        </w:rPr>
        <w:t>测量地点：默认显示样品的采样地点，只读</w:t>
      </w:r>
    </w:p>
    <w:p>
      <w:pPr>
        <w:numPr>
          <w:ilvl w:val="0"/>
          <w:numId w:val="9"/>
        </w:numPr>
      </w:pPr>
      <w:r>
        <w:rPr>
          <w:rFonts w:hint="eastAsia"/>
        </w:rPr>
        <w:t>测量对象：默认显示样品中个体的姓名，只读</w:t>
      </w:r>
    </w:p>
    <w:p>
      <w:pPr>
        <w:numPr>
          <w:ilvl w:val="0"/>
          <w:numId w:val="9"/>
        </w:numPr>
      </w:pPr>
      <w:r>
        <w:rPr>
          <w:rFonts w:hint="eastAsia"/>
        </w:rPr>
        <w:t>备注：非必填，可输可选框</w:t>
      </w:r>
    </w:p>
    <w:p>
      <w:pPr>
        <w:numPr>
          <w:ilvl w:val="0"/>
          <w:numId w:val="10"/>
        </w:numPr>
      </w:pPr>
      <w:r>
        <w:rPr>
          <w:rFonts w:hint="eastAsia"/>
        </w:rPr>
        <w:t>当L</w:t>
      </w:r>
      <w:r>
        <w:rPr>
          <w:rFonts w:hint="eastAsia"/>
          <w:vertAlign w:val="subscript"/>
        </w:rPr>
        <w:t>EX,</w:t>
      </w:r>
      <w:r>
        <w:rPr>
          <w:rFonts w:hint="eastAsia"/>
        </w:rPr>
        <w:t>40h小于职业接触</w:t>
      </w:r>
      <w:r>
        <w:rPr>
          <w:rFonts w:hint="eastAsia"/>
          <w:lang w:val="en-US" w:eastAsia="zh-CN"/>
        </w:rPr>
        <w:t>限值</w:t>
      </w:r>
      <w:r>
        <w:rPr>
          <w:rFonts w:hint="eastAsia"/>
        </w:rPr>
        <w:t>时（以噪声为例）</w:t>
      </w:r>
    </w:p>
    <w:p>
      <w:r>
        <w:drawing>
          <wp:inline distT="0" distB="0" distL="114300" distR="114300">
            <wp:extent cx="5274310" cy="1318260"/>
            <wp:effectExtent l="0" t="0" r="13970" b="762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44"/>
                    <a:stretch>
                      <a:fillRect/>
                    </a:stretch>
                  </pic:blipFill>
                  <pic:spPr>
                    <a:xfrm>
                      <a:off x="0" y="0"/>
                      <a:ext cx="5274310" cy="1318260"/>
                    </a:xfrm>
                    <a:prstGeom prst="rect">
                      <a:avLst/>
                    </a:prstGeom>
                    <a:noFill/>
                    <a:ln>
                      <a:noFill/>
                    </a:ln>
                  </pic:spPr>
                </pic:pic>
              </a:graphicData>
            </a:graphic>
          </wp:inline>
        </w:drawing>
      </w:r>
    </w:p>
    <w:p>
      <w:pPr>
        <w:pStyle w:val="22"/>
        <w:numPr>
          <w:ilvl w:val="0"/>
          <w:numId w:val="3"/>
        </w:numPr>
        <w:ind w:firstLineChars="0"/>
      </w:pPr>
      <w:r>
        <w:rPr>
          <w:rFonts w:hint="eastAsia"/>
        </w:rPr>
        <w:t>岗位/工种颜色标记：当该岗位下所有样品都显示合格，岗位/工种名称标记“绿色”；若有一个样品标记不合格，则名称标记“红色”</w:t>
      </w:r>
    </w:p>
    <w:p>
      <w:pPr>
        <w:numPr>
          <w:ilvl w:val="0"/>
          <w:numId w:val="10"/>
        </w:numPr>
      </w:pPr>
      <w:r>
        <w:rPr>
          <w:rFonts w:hint="eastAsia"/>
        </w:rPr>
        <w:t>当职业接触限值只有PC-TWA（以总尘为例）</w:t>
      </w:r>
    </w:p>
    <w:p>
      <w:r>
        <w:drawing>
          <wp:inline distT="0" distB="0" distL="0" distR="0">
            <wp:extent cx="5274310" cy="1654810"/>
            <wp:effectExtent l="0" t="0" r="2540" b="2540"/>
            <wp:docPr id="17" name="图片 17"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 Word&#10;&#10;描述已自动生成"/>
                    <pic:cNvPicPr>
                      <a:picLocks noChangeAspect="1"/>
                    </pic:cNvPicPr>
                  </pic:nvPicPr>
                  <pic:blipFill>
                    <a:blip r:embed="rId45"/>
                    <a:stretch>
                      <a:fillRect/>
                    </a:stretch>
                  </pic:blipFill>
                  <pic:spPr>
                    <a:xfrm>
                      <a:off x="0" y="0"/>
                      <a:ext cx="5274310" cy="1654810"/>
                    </a:xfrm>
                    <a:prstGeom prst="rect">
                      <a:avLst/>
                    </a:prstGeom>
                  </pic:spPr>
                </pic:pic>
              </a:graphicData>
            </a:graphic>
          </wp:inline>
        </w:drawing>
      </w:r>
    </w:p>
    <w:p>
      <w:pPr>
        <w:pStyle w:val="23"/>
        <w:numPr>
          <w:ilvl w:val="0"/>
          <w:numId w:val="11"/>
        </w:numPr>
        <w:ind w:left="960" w:firstLineChars="0"/>
      </w:pPr>
      <w:r>
        <w:rPr>
          <w:rFonts w:hint="eastAsia"/>
        </w:rPr>
        <w:t>C</w:t>
      </w:r>
      <w:r>
        <w:rPr>
          <w:rFonts w:hint="eastAsia" w:ascii="宋体" w:hAnsi="宋体"/>
        </w:rPr>
        <w:t>：必填，标记默认“</w:t>
      </w:r>
      <w:r>
        <w:rPr>
          <w:rFonts w:hint="eastAsia"/>
        </w:rPr>
        <w:t>=</w:t>
      </w:r>
      <w:r>
        <w:rPr>
          <w:rFonts w:hint="eastAsia" w:ascii="宋体" w:hAnsi="宋体"/>
        </w:rPr>
        <w:t>”，数值默认为空，仅支持输入非负数；当标记选择“</w:t>
      </w:r>
      <w:r>
        <w:rPr>
          <w:rFonts w:hint="eastAsia"/>
        </w:rPr>
        <w:t>&lt;</w:t>
      </w:r>
      <w:r>
        <w:rPr>
          <w:rFonts w:hint="eastAsia" w:ascii="宋体" w:hAnsi="宋体"/>
        </w:rPr>
        <w:t>”时，数值必须小于等于</w:t>
      </w:r>
      <w:r>
        <w:rPr>
          <w:rFonts w:hint="eastAsia"/>
        </w:rPr>
        <w:t>PC-TWA</w:t>
      </w:r>
      <w:r>
        <w:rPr>
          <w:rFonts w:hint="eastAsia" w:ascii="宋体" w:hAnsi="宋体"/>
        </w:rPr>
        <w:t>设定的限值数</w:t>
      </w:r>
    </w:p>
    <w:p>
      <w:pPr>
        <w:pStyle w:val="23"/>
        <w:numPr>
          <w:ilvl w:val="0"/>
          <w:numId w:val="11"/>
        </w:numPr>
        <w:ind w:left="960" w:firstLineChars="0"/>
      </w:pPr>
      <w:r>
        <w:rPr>
          <w:rFonts w:hint="eastAsia"/>
        </w:rPr>
        <w:t>C</w:t>
      </w:r>
      <w:r>
        <w:rPr>
          <w:rFonts w:hint="eastAsia"/>
          <w:sz w:val="13"/>
          <w:szCs w:val="13"/>
        </w:rPr>
        <w:t>TWA</w:t>
      </w:r>
      <w:r>
        <w:rPr>
          <w:rFonts w:hint="eastAsia" w:ascii="宋体" w:hAnsi="宋体"/>
          <w:sz w:val="13"/>
          <w:szCs w:val="13"/>
        </w:rPr>
        <w:t>：</w:t>
      </w:r>
      <w:r>
        <w:rPr>
          <w:rFonts w:hint="eastAsia" w:ascii="宋体" w:hAnsi="宋体"/>
        </w:rPr>
        <w:t>必填，同岗位下合并显示，标记默认</w:t>
      </w:r>
      <w:r>
        <w:rPr>
          <w:rFonts w:hint="eastAsia"/>
        </w:rPr>
        <w:t>“=</w:t>
      </w:r>
      <w:r>
        <w:rPr>
          <w:rFonts w:hint="eastAsia" w:ascii="宋体" w:hAnsi="宋体"/>
        </w:rPr>
        <w:t>”，数值默认为空，仅支持输入非负数；当标记选择“</w:t>
      </w:r>
      <w:r>
        <w:rPr>
          <w:rFonts w:hint="eastAsia"/>
        </w:rPr>
        <w:t>&lt;</w:t>
      </w:r>
      <w:r>
        <w:rPr>
          <w:rFonts w:hint="eastAsia" w:ascii="宋体" w:hAnsi="宋体"/>
        </w:rPr>
        <w:t>”时，数值必须小于等于</w:t>
      </w:r>
      <w:r>
        <w:rPr>
          <w:rFonts w:hint="eastAsia"/>
        </w:rPr>
        <w:t>PC-TWA</w:t>
      </w:r>
      <w:r>
        <w:rPr>
          <w:rFonts w:hint="eastAsia" w:ascii="宋体" w:hAnsi="宋体"/>
        </w:rPr>
        <w:t>设定的限值数</w:t>
      </w:r>
    </w:p>
    <w:p>
      <w:pPr>
        <w:pStyle w:val="23"/>
        <w:numPr>
          <w:ilvl w:val="0"/>
          <w:numId w:val="11"/>
        </w:numPr>
        <w:ind w:left="960" w:firstLineChars="0"/>
      </w:pPr>
      <w:r>
        <w:rPr>
          <w:rFonts w:hint="eastAsia"/>
        </w:rPr>
        <w:t>C</w:t>
      </w:r>
      <w:r>
        <w:rPr>
          <w:rFonts w:hint="eastAsia"/>
          <w:sz w:val="13"/>
          <w:szCs w:val="13"/>
        </w:rPr>
        <w:t>PE</w:t>
      </w:r>
      <w:r>
        <w:rPr>
          <w:rFonts w:hint="eastAsia" w:ascii="宋体" w:hAnsi="宋体"/>
          <w:sz w:val="13"/>
          <w:szCs w:val="13"/>
        </w:rPr>
        <w:t>：</w:t>
      </w:r>
      <w:r>
        <w:rPr>
          <w:rFonts w:hint="eastAsia" w:ascii="宋体" w:hAnsi="宋体"/>
        </w:rPr>
        <w:t>只读，同岗位下合并显示，默认获取</w:t>
      </w:r>
      <w:r>
        <w:rPr>
          <w:rFonts w:hint="eastAsia"/>
        </w:rPr>
        <w:t>C</w:t>
      </w:r>
      <w:r>
        <w:rPr>
          <w:rFonts w:hint="eastAsia" w:ascii="宋体" w:hAnsi="宋体"/>
        </w:rPr>
        <w:t>的最大值</w:t>
      </w:r>
    </w:p>
    <w:p>
      <w:pPr>
        <w:pStyle w:val="23"/>
        <w:numPr>
          <w:ilvl w:val="0"/>
          <w:numId w:val="11"/>
        </w:numPr>
        <w:ind w:left="960" w:firstLineChars="0"/>
      </w:pPr>
      <w:r>
        <w:rPr>
          <w:rFonts w:hint="eastAsia" w:ascii="宋体" w:hAnsi="宋体"/>
        </w:rPr>
        <w:t>样品标记：当</w:t>
      </w:r>
      <w:r>
        <w:rPr>
          <w:rFonts w:hint="eastAsia"/>
        </w:rPr>
        <w:t>C</w:t>
      </w:r>
      <w:r>
        <w:rPr>
          <w:rFonts w:hint="eastAsia" w:ascii="宋体" w:hAnsi="宋体"/>
        </w:rPr>
        <w:t>值</w:t>
      </w:r>
      <w:r>
        <w:rPr>
          <w:rFonts w:hint="eastAsia"/>
        </w:rPr>
        <w:t>&lt;=3</w:t>
      </w:r>
      <w:r>
        <w:rPr>
          <w:rFonts w:hint="eastAsia" w:ascii="宋体" w:hAnsi="宋体"/>
        </w:rPr>
        <w:t>倍的</w:t>
      </w:r>
      <w:r>
        <w:rPr>
          <w:rFonts w:hint="eastAsia"/>
        </w:rPr>
        <w:t>PC-TWA</w:t>
      </w:r>
      <w:r>
        <w:rPr>
          <w:rFonts w:hint="eastAsia" w:ascii="宋体" w:hAnsi="宋体"/>
        </w:rPr>
        <w:t>限值，则自动计算为合格；当</w:t>
      </w:r>
      <w:r>
        <w:rPr>
          <w:rFonts w:hint="eastAsia"/>
        </w:rPr>
        <w:t>3</w:t>
      </w:r>
      <w:r>
        <w:rPr>
          <w:rFonts w:hint="eastAsia" w:ascii="宋体" w:hAnsi="宋体"/>
        </w:rPr>
        <w:t>倍</w:t>
      </w:r>
      <w:r>
        <w:rPr>
          <w:rFonts w:hint="eastAsia"/>
        </w:rPr>
        <w:t>PC-TWA</w:t>
      </w:r>
      <w:r>
        <w:rPr>
          <w:rFonts w:hint="eastAsia" w:ascii="宋体" w:hAnsi="宋体"/>
        </w:rPr>
        <w:t>限值</w:t>
      </w:r>
      <w:r>
        <w:rPr>
          <w:rFonts w:hint="eastAsia"/>
        </w:rPr>
        <w:t>&lt;C</w:t>
      </w:r>
      <w:r>
        <w:rPr>
          <w:rFonts w:hint="eastAsia" w:ascii="宋体" w:hAnsi="宋体"/>
        </w:rPr>
        <w:t>值</w:t>
      </w:r>
      <w:r>
        <w:rPr>
          <w:rFonts w:hint="eastAsia"/>
        </w:rPr>
        <w:t>&lt;=5</w:t>
      </w:r>
      <w:r>
        <w:rPr>
          <w:rFonts w:hint="eastAsia" w:ascii="宋体" w:hAnsi="宋体"/>
        </w:rPr>
        <w:t>倍的</w:t>
      </w:r>
      <w:r>
        <w:rPr>
          <w:rFonts w:hint="eastAsia"/>
        </w:rPr>
        <w:t>PC-TWA</w:t>
      </w:r>
      <w:r>
        <w:rPr>
          <w:rFonts w:hint="eastAsia" w:ascii="宋体" w:hAnsi="宋体"/>
        </w:rPr>
        <w:t>限值，显示“合格、不合格”单选按钮，用户自动选择；当</w:t>
      </w:r>
      <w:r>
        <w:rPr>
          <w:rFonts w:hint="eastAsia"/>
        </w:rPr>
        <w:t>C</w:t>
      </w:r>
      <w:r>
        <w:rPr>
          <w:rFonts w:hint="eastAsia" w:ascii="宋体" w:hAnsi="宋体"/>
        </w:rPr>
        <w:t>值</w:t>
      </w:r>
      <w:r>
        <w:rPr>
          <w:rFonts w:hint="eastAsia"/>
        </w:rPr>
        <w:t>&gt;5</w:t>
      </w:r>
      <w:r>
        <w:rPr>
          <w:rFonts w:hint="eastAsia" w:ascii="宋体" w:hAnsi="宋体"/>
        </w:rPr>
        <w:t>倍的</w:t>
      </w:r>
      <w:r>
        <w:rPr>
          <w:rFonts w:hint="eastAsia"/>
        </w:rPr>
        <w:t>PC-TWA</w:t>
      </w:r>
      <w:r>
        <w:rPr>
          <w:rFonts w:hint="eastAsia" w:ascii="宋体" w:hAnsi="宋体"/>
        </w:rPr>
        <w:t>限值，则自动计算为不合格；样品标记为不合格的标红显示</w:t>
      </w:r>
    </w:p>
    <w:p>
      <w:pPr>
        <w:pStyle w:val="23"/>
        <w:numPr>
          <w:ilvl w:val="0"/>
          <w:numId w:val="11"/>
        </w:numPr>
        <w:ind w:left="960" w:firstLineChars="0"/>
        <w:rPr>
          <w:rFonts w:hint="eastAsia"/>
        </w:rPr>
      </w:pPr>
      <w:r>
        <w:rPr>
          <w:rFonts w:hint="eastAsia" w:ascii="宋体" w:hAnsi="宋体"/>
        </w:rPr>
        <w:t>岗位</w:t>
      </w:r>
      <w:r>
        <w:rPr>
          <w:rFonts w:hint="eastAsia"/>
        </w:rPr>
        <w:t>/</w:t>
      </w:r>
      <w:r>
        <w:rPr>
          <w:rFonts w:hint="eastAsia" w:ascii="宋体" w:hAnsi="宋体"/>
        </w:rPr>
        <w:t>工种颜色标记：当该岗位下所有样品都显示合格且</w:t>
      </w:r>
      <w:r>
        <w:rPr>
          <w:rFonts w:hint="eastAsia"/>
        </w:rPr>
        <w:t>CTWA</w:t>
      </w:r>
      <w:r>
        <w:rPr>
          <w:rFonts w:hint="eastAsia" w:ascii="宋体" w:hAnsi="宋体"/>
        </w:rPr>
        <w:t>值</w:t>
      </w:r>
      <w:r>
        <w:rPr>
          <w:rFonts w:hint="eastAsia"/>
        </w:rPr>
        <w:t>&lt;=PC-TWA</w:t>
      </w:r>
      <w:r>
        <w:rPr>
          <w:rFonts w:hint="eastAsia" w:ascii="宋体" w:hAnsi="宋体"/>
        </w:rPr>
        <w:t>限值，算作合格，岗位</w:t>
      </w:r>
      <w:r>
        <w:rPr>
          <w:rFonts w:hint="eastAsia"/>
        </w:rPr>
        <w:t>/</w:t>
      </w:r>
      <w:r>
        <w:rPr>
          <w:rFonts w:hint="eastAsia" w:ascii="宋体" w:hAnsi="宋体"/>
        </w:rPr>
        <w:t>工种名称标记“绿色”；否则计算为不合格，名称标记“红色”</w:t>
      </w:r>
    </w:p>
    <w:p>
      <w:pPr>
        <w:pStyle w:val="2"/>
      </w:pPr>
      <w:r>
        <w:rPr>
          <w:rFonts w:hint="eastAsia"/>
        </w:rPr>
        <w:t>第八部分 报表参数配置</w:t>
      </w:r>
    </w:p>
    <w:p>
      <w:pPr>
        <w:pStyle w:val="3"/>
      </w:pPr>
      <w:r>
        <w:rPr>
          <w:rFonts w:hint="eastAsia"/>
        </w:rPr>
        <w:t>8.1 功能说明</w:t>
      </w:r>
    </w:p>
    <w:p>
      <w:pPr>
        <w:ind w:firstLine="420"/>
      </w:pPr>
      <w:r>
        <w:rPr>
          <w:rFonts w:hint="eastAsia"/>
        </w:rPr>
        <w:t>主要用于出具纸质检测报告封面的Logo设置</w:t>
      </w:r>
    </w:p>
    <w:p>
      <w:pPr>
        <w:pStyle w:val="3"/>
      </w:pPr>
      <w:r>
        <w:rPr>
          <w:rFonts w:hint="eastAsia"/>
        </w:rPr>
        <w:t>8.2 菜单</w:t>
      </w:r>
    </w:p>
    <w:p>
      <w:r>
        <w:rPr>
          <w:rFonts w:hint="eastAsia"/>
        </w:rPr>
        <w:t>职业卫生技术服务机构账户登录系统后点击【报表参数配置】进入操作界面。</w:t>
      </w:r>
      <w:r>
        <w:drawing>
          <wp:inline distT="0" distB="0" distL="114300" distR="114300">
            <wp:extent cx="5267960" cy="1640840"/>
            <wp:effectExtent l="0" t="0" r="508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6"/>
                    <a:stretch>
                      <a:fillRect/>
                    </a:stretch>
                  </pic:blipFill>
                  <pic:spPr>
                    <a:xfrm>
                      <a:off x="0" y="0"/>
                      <a:ext cx="5267960" cy="1640840"/>
                    </a:xfrm>
                    <a:prstGeom prst="rect">
                      <a:avLst/>
                    </a:prstGeom>
                    <a:noFill/>
                    <a:ln>
                      <a:noFill/>
                    </a:ln>
                  </pic:spPr>
                </pic:pic>
              </a:graphicData>
            </a:graphic>
          </wp:inline>
        </w:drawing>
      </w:r>
    </w:p>
    <w:p>
      <w:pPr>
        <w:pStyle w:val="3"/>
      </w:pPr>
      <w:r>
        <w:rPr>
          <w:rFonts w:hint="eastAsia"/>
        </w:rPr>
        <w:t>8.3主页面</w:t>
      </w:r>
    </w:p>
    <w:p>
      <w:r>
        <w:drawing>
          <wp:inline distT="0" distB="0" distL="114300" distR="114300">
            <wp:extent cx="5267960" cy="1652270"/>
            <wp:effectExtent l="0" t="0" r="5080" b="889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7"/>
                    <a:stretch>
                      <a:fillRect/>
                    </a:stretch>
                  </pic:blipFill>
                  <pic:spPr>
                    <a:xfrm>
                      <a:off x="0" y="0"/>
                      <a:ext cx="5267960" cy="1652270"/>
                    </a:xfrm>
                    <a:prstGeom prst="rect">
                      <a:avLst/>
                    </a:prstGeom>
                    <a:noFill/>
                    <a:ln>
                      <a:noFill/>
                    </a:ln>
                  </pic:spPr>
                </pic:pic>
              </a:graphicData>
            </a:graphic>
          </wp:inline>
        </w:drawing>
      </w:r>
    </w:p>
    <w:p>
      <w:r>
        <w:rPr>
          <w:rFonts w:hint="eastAsia"/>
        </w:rPr>
        <w:t>报表机构图标：上传机构Logo图片，大小按照推荐大小设置</w:t>
      </w:r>
    </w:p>
    <w:p>
      <w:r>
        <w:rPr>
          <w:rFonts w:hint="eastAsia"/>
        </w:rPr>
        <w:t>CMA认证号：非必填</w:t>
      </w:r>
    </w:p>
    <w:p>
      <w:r>
        <w:rPr>
          <w:rFonts w:hint="eastAsia"/>
        </w:rPr>
        <w:t>CNAS认证号：非必填</w:t>
      </w:r>
    </w:p>
    <w:p>
      <w:pPr>
        <w:pStyle w:val="22"/>
        <w:ind w:firstLine="0" w:firstLineChars="0"/>
        <w:rPr>
          <w:rFonts w:hint="eastAsia"/>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4A4A4" w:themeColor="background1" w:themeShade="A5" w:sz="4" w:space="1"/>
      </w:pBdr>
      <w:rPr>
        <w:color w:val="7F7F7F" w:themeColor="background1" w:themeShade="80"/>
      </w:rPr>
    </w:pPr>
    <w:sdt>
      <w:sdtPr>
        <w:rPr>
          <w:rFonts w:eastAsia="Times New Roman"/>
        </w:rPr>
        <w:alias w:val="公司"/>
        <w:id w:val="76117946"/>
        <w:text/>
      </w:sdtPr>
      <w:sdtEndPr>
        <w:rPr>
          <w:rFonts w:eastAsia="Times New Roman"/>
        </w:rPr>
      </w:sdtEndPr>
      <w:sdtContent>
        <w:r>
          <w:rPr>
            <w:rFonts w:hint="eastAsia" w:eastAsia="Times New Roman"/>
          </w:rPr>
          <w:t>Copyright ©</w:t>
        </w:r>
        <w:r>
          <w:rPr>
            <w:rFonts w:hint="eastAsia" w:ascii="宋体" w:hAnsi="宋体" w:eastAsia="宋体" w:cs="宋体"/>
          </w:rPr>
          <w:t>南京中卫信软件科技股份有限公司</w:t>
        </w:r>
        <w:r>
          <w:rPr>
            <w:rFonts w:hint="eastAsia" w:eastAsia="Times New Roman"/>
          </w:rPr>
          <w:t>, All right reserved.</w:t>
        </w:r>
      </w:sdtContent>
    </w:sdt>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84F86E"/>
    <w:multiLevelType w:val="singleLevel"/>
    <w:tmpl w:val="9984F86E"/>
    <w:lvl w:ilvl="0" w:tentative="0">
      <w:start w:val="1"/>
      <w:numFmt w:val="decimal"/>
      <w:suff w:val="nothing"/>
      <w:lvlText w:val="%1）"/>
      <w:lvlJc w:val="left"/>
    </w:lvl>
  </w:abstractNum>
  <w:abstractNum w:abstractNumId="1">
    <w:nsid w:val="B4D3CEE4"/>
    <w:multiLevelType w:val="singleLevel"/>
    <w:tmpl w:val="B4D3CEE4"/>
    <w:lvl w:ilvl="0" w:tentative="0">
      <w:start w:val="1"/>
      <w:numFmt w:val="bullet"/>
      <w:lvlText w:val=""/>
      <w:lvlJc w:val="left"/>
      <w:pPr>
        <w:ind w:left="420" w:hanging="420"/>
      </w:pPr>
      <w:rPr>
        <w:rFonts w:hint="default" w:ascii="Wingdings" w:hAnsi="Wingdings"/>
      </w:rPr>
    </w:lvl>
  </w:abstractNum>
  <w:abstractNum w:abstractNumId="2">
    <w:nsid w:val="E2825E86"/>
    <w:multiLevelType w:val="singleLevel"/>
    <w:tmpl w:val="E2825E86"/>
    <w:lvl w:ilvl="0" w:tentative="0">
      <w:start w:val="2"/>
      <w:numFmt w:val="decimal"/>
      <w:suff w:val="nothing"/>
      <w:lvlText w:val="%1、"/>
      <w:lvlJc w:val="left"/>
    </w:lvl>
  </w:abstractNum>
  <w:abstractNum w:abstractNumId="3">
    <w:nsid w:val="0F3F107B"/>
    <w:multiLevelType w:val="multilevel"/>
    <w:tmpl w:val="0F3F10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34C6FBE"/>
    <w:multiLevelType w:val="singleLevel"/>
    <w:tmpl w:val="134C6FBE"/>
    <w:lvl w:ilvl="0" w:tentative="0">
      <w:start w:val="2"/>
      <w:numFmt w:val="decimal"/>
      <w:suff w:val="nothing"/>
      <w:lvlText w:val="%1、"/>
      <w:lvlJc w:val="left"/>
    </w:lvl>
  </w:abstractNum>
  <w:abstractNum w:abstractNumId="5">
    <w:nsid w:val="15353860"/>
    <w:multiLevelType w:val="singleLevel"/>
    <w:tmpl w:val="15353860"/>
    <w:lvl w:ilvl="0" w:tentative="0">
      <w:start w:val="2"/>
      <w:numFmt w:val="decimal"/>
      <w:suff w:val="nothing"/>
      <w:lvlText w:val="%1、"/>
      <w:lvlJc w:val="left"/>
    </w:lvl>
  </w:abstractNum>
  <w:abstractNum w:abstractNumId="6">
    <w:nsid w:val="3DA994B3"/>
    <w:multiLevelType w:val="singleLevel"/>
    <w:tmpl w:val="3DA994B3"/>
    <w:lvl w:ilvl="0" w:tentative="0">
      <w:start w:val="2"/>
      <w:numFmt w:val="decimal"/>
      <w:suff w:val="nothing"/>
      <w:lvlText w:val="%1、"/>
      <w:lvlJc w:val="left"/>
    </w:lvl>
  </w:abstractNum>
  <w:abstractNum w:abstractNumId="7">
    <w:nsid w:val="417A186D"/>
    <w:multiLevelType w:val="singleLevel"/>
    <w:tmpl w:val="417A186D"/>
    <w:lvl w:ilvl="0" w:tentative="0">
      <w:start w:val="2"/>
      <w:numFmt w:val="decimal"/>
      <w:suff w:val="nothing"/>
      <w:lvlText w:val="%1、"/>
      <w:lvlJc w:val="left"/>
    </w:lvl>
  </w:abstractNum>
  <w:abstractNum w:abstractNumId="8">
    <w:nsid w:val="4F22159F"/>
    <w:multiLevelType w:val="multilevel"/>
    <w:tmpl w:val="4F2215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8F2C7C6"/>
    <w:multiLevelType w:val="singleLevel"/>
    <w:tmpl w:val="58F2C7C6"/>
    <w:lvl w:ilvl="0" w:tentative="0">
      <w:start w:val="1"/>
      <w:numFmt w:val="bullet"/>
      <w:lvlText w:val=""/>
      <w:lvlJc w:val="left"/>
      <w:pPr>
        <w:ind w:left="420" w:hanging="420"/>
      </w:pPr>
      <w:rPr>
        <w:rFonts w:hint="default" w:ascii="Wingdings" w:hAnsi="Wingdings"/>
      </w:rPr>
    </w:lvl>
  </w:abstractNum>
  <w:abstractNum w:abstractNumId="10">
    <w:nsid w:val="5C4F05CB"/>
    <w:multiLevelType w:val="singleLevel"/>
    <w:tmpl w:val="5C4F05CB"/>
    <w:lvl w:ilvl="0" w:tentative="0">
      <w:start w:val="2"/>
      <w:numFmt w:val="decimal"/>
      <w:suff w:val="nothing"/>
      <w:lvlText w:val="%1、"/>
      <w:lvlJc w:val="left"/>
    </w:lvl>
  </w:abstractNum>
  <w:num w:numId="1">
    <w:abstractNumId w:val="2"/>
  </w:num>
  <w:num w:numId="2">
    <w:abstractNumId w:val="6"/>
  </w:num>
  <w:num w:numId="3">
    <w:abstractNumId w:val="8"/>
  </w:num>
  <w:num w:numId="4">
    <w:abstractNumId w:val="10"/>
  </w:num>
  <w:num w:numId="5">
    <w:abstractNumId w:val="1"/>
  </w:num>
  <w:num w:numId="6">
    <w:abstractNumId w:val="4"/>
  </w:num>
  <w:num w:numId="7">
    <w:abstractNumId w:val="5"/>
  </w:num>
  <w:num w:numId="8">
    <w:abstractNumId w:val="7"/>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lOGNiY2IyMDRlMTM5NTkyMGE1M2ZhMWJiNzdmMWEifQ=="/>
  </w:docVars>
  <w:rsids>
    <w:rsidRoot w:val="009901C6"/>
    <w:rsid w:val="000317FB"/>
    <w:rsid w:val="00034416"/>
    <w:rsid w:val="00050C17"/>
    <w:rsid w:val="00067053"/>
    <w:rsid w:val="000728DC"/>
    <w:rsid w:val="00085D99"/>
    <w:rsid w:val="000920E8"/>
    <w:rsid w:val="000968D6"/>
    <w:rsid w:val="000A12DC"/>
    <w:rsid w:val="000A2E81"/>
    <w:rsid w:val="000C1043"/>
    <w:rsid w:val="000D1792"/>
    <w:rsid w:val="000D677B"/>
    <w:rsid w:val="000E21AA"/>
    <w:rsid w:val="000E48CB"/>
    <w:rsid w:val="001151F6"/>
    <w:rsid w:val="00125971"/>
    <w:rsid w:val="0013630B"/>
    <w:rsid w:val="0014355D"/>
    <w:rsid w:val="00153B62"/>
    <w:rsid w:val="00156DFF"/>
    <w:rsid w:val="00181EEF"/>
    <w:rsid w:val="001824D2"/>
    <w:rsid w:val="001B40A2"/>
    <w:rsid w:val="001D7782"/>
    <w:rsid w:val="00202F46"/>
    <w:rsid w:val="00217B6A"/>
    <w:rsid w:val="00230753"/>
    <w:rsid w:val="0023699F"/>
    <w:rsid w:val="002418CC"/>
    <w:rsid w:val="002436A9"/>
    <w:rsid w:val="00277A8D"/>
    <w:rsid w:val="002872CF"/>
    <w:rsid w:val="002D1BB6"/>
    <w:rsid w:val="002E5897"/>
    <w:rsid w:val="00304B55"/>
    <w:rsid w:val="00312560"/>
    <w:rsid w:val="00340201"/>
    <w:rsid w:val="003C41E8"/>
    <w:rsid w:val="003D7757"/>
    <w:rsid w:val="003E6823"/>
    <w:rsid w:val="003E7713"/>
    <w:rsid w:val="003E7D9D"/>
    <w:rsid w:val="00407FB4"/>
    <w:rsid w:val="0041109A"/>
    <w:rsid w:val="004110B5"/>
    <w:rsid w:val="00413B50"/>
    <w:rsid w:val="004234BD"/>
    <w:rsid w:val="00424F75"/>
    <w:rsid w:val="0043521A"/>
    <w:rsid w:val="00441E4E"/>
    <w:rsid w:val="00446E27"/>
    <w:rsid w:val="004576DE"/>
    <w:rsid w:val="0046038A"/>
    <w:rsid w:val="00474BB6"/>
    <w:rsid w:val="00481960"/>
    <w:rsid w:val="004D7499"/>
    <w:rsid w:val="004D7881"/>
    <w:rsid w:val="004E0902"/>
    <w:rsid w:val="00515914"/>
    <w:rsid w:val="00524E7D"/>
    <w:rsid w:val="00527FA7"/>
    <w:rsid w:val="005323E6"/>
    <w:rsid w:val="005348ED"/>
    <w:rsid w:val="00552B30"/>
    <w:rsid w:val="0055726C"/>
    <w:rsid w:val="005807A8"/>
    <w:rsid w:val="00606D82"/>
    <w:rsid w:val="006A5D97"/>
    <w:rsid w:val="006B5553"/>
    <w:rsid w:val="006C05EC"/>
    <w:rsid w:val="006F6373"/>
    <w:rsid w:val="007013F7"/>
    <w:rsid w:val="007357A4"/>
    <w:rsid w:val="00745AD2"/>
    <w:rsid w:val="007507F1"/>
    <w:rsid w:val="007520D4"/>
    <w:rsid w:val="00777C16"/>
    <w:rsid w:val="007932C0"/>
    <w:rsid w:val="007A258A"/>
    <w:rsid w:val="007A5FC0"/>
    <w:rsid w:val="007D16AC"/>
    <w:rsid w:val="007E3651"/>
    <w:rsid w:val="007E614F"/>
    <w:rsid w:val="00801D54"/>
    <w:rsid w:val="008115F9"/>
    <w:rsid w:val="008207B6"/>
    <w:rsid w:val="00821201"/>
    <w:rsid w:val="00850775"/>
    <w:rsid w:val="00854632"/>
    <w:rsid w:val="00877986"/>
    <w:rsid w:val="00892D82"/>
    <w:rsid w:val="008A0025"/>
    <w:rsid w:val="008A3C52"/>
    <w:rsid w:val="008C3184"/>
    <w:rsid w:val="008C7DE8"/>
    <w:rsid w:val="00915C92"/>
    <w:rsid w:val="00946FA8"/>
    <w:rsid w:val="00977DE1"/>
    <w:rsid w:val="00980CD5"/>
    <w:rsid w:val="00981C19"/>
    <w:rsid w:val="009901C6"/>
    <w:rsid w:val="00992276"/>
    <w:rsid w:val="009A3722"/>
    <w:rsid w:val="009B4489"/>
    <w:rsid w:val="009C1535"/>
    <w:rsid w:val="009C6E3E"/>
    <w:rsid w:val="009C75C5"/>
    <w:rsid w:val="00A562BA"/>
    <w:rsid w:val="00A5725A"/>
    <w:rsid w:val="00A612A1"/>
    <w:rsid w:val="00A62057"/>
    <w:rsid w:val="00A706D8"/>
    <w:rsid w:val="00A75CDC"/>
    <w:rsid w:val="00A968F6"/>
    <w:rsid w:val="00AD2EC0"/>
    <w:rsid w:val="00B14C49"/>
    <w:rsid w:val="00B25DCA"/>
    <w:rsid w:val="00B500DE"/>
    <w:rsid w:val="00B516E8"/>
    <w:rsid w:val="00BA0241"/>
    <w:rsid w:val="00BC2955"/>
    <w:rsid w:val="00BC5EF3"/>
    <w:rsid w:val="00BE0C87"/>
    <w:rsid w:val="00BE2BD0"/>
    <w:rsid w:val="00C12BF9"/>
    <w:rsid w:val="00C30CB7"/>
    <w:rsid w:val="00C708CB"/>
    <w:rsid w:val="00C74815"/>
    <w:rsid w:val="00C86FA2"/>
    <w:rsid w:val="00C87DD1"/>
    <w:rsid w:val="00C90A7F"/>
    <w:rsid w:val="00CC5296"/>
    <w:rsid w:val="00CC5A65"/>
    <w:rsid w:val="00CF6B95"/>
    <w:rsid w:val="00D23A92"/>
    <w:rsid w:val="00D31DCD"/>
    <w:rsid w:val="00D64869"/>
    <w:rsid w:val="00D77E32"/>
    <w:rsid w:val="00DC07C1"/>
    <w:rsid w:val="00DD7698"/>
    <w:rsid w:val="00DE352E"/>
    <w:rsid w:val="00DF25EF"/>
    <w:rsid w:val="00E0303C"/>
    <w:rsid w:val="00E035EE"/>
    <w:rsid w:val="00E0602F"/>
    <w:rsid w:val="00E13730"/>
    <w:rsid w:val="00E22D87"/>
    <w:rsid w:val="00E26076"/>
    <w:rsid w:val="00E4288E"/>
    <w:rsid w:val="00E608DB"/>
    <w:rsid w:val="00E7289E"/>
    <w:rsid w:val="00E8745F"/>
    <w:rsid w:val="00E94508"/>
    <w:rsid w:val="00EA5C24"/>
    <w:rsid w:val="00EB0DBB"/>
    <w:rsid w:val="00ED3B4A"/>
    <w:rsid w:val="00ED72A1"/>
    <w:rsid w:val="00ED742A"/>
    <w:rsid w:val="00EE762D"/>
    <w:rsid w:val="00F04E56"/>
    <w:rsid w:val="00F13FC4"/>
    <w:rsid w:val="00F67D0F"/>
    <w:rsid w:val="00F77377"/>
    <w:rsid w:val="00F90699"/>
    <w:rsid w:val="00FA324B"/>
    <w:rsid w:val="00FA6010"/>
    <w:rsid w:val="00FB68A7"/>
    <w:rsid w:val="012C7CB1"/>
    <w:rsid w:val="031F4701"/>
    <w:rsid w:val="04B35FD8"/>
    <w:rsid w:val="04BE3CC3"/>
    <w:rsid w:val="04C77B2D"/>
    <w:rsid w:val="05AB31F2"/>
    <w:rsid w:val="07F94261"/>
    <w:rsid w:val="08447E96"/>
    <w:rsid w:val="085508CD"/>
    <w:rsid w:val="09473D0A"/>
    <w:rsid w:val="09A21A53"/>
    <w:rsid w:val="0BF91D3D"/>
    <w:rsid w:val="0C1F17AD"/>
    <w:rsid w:val="0C8D1AFD"/>
    <w:rsid w:val="0CC35F6F"/>
    <w:rsid w:val="0D3014F9"/>
    <w:rsid w:val="0D5658BA"/>
    <w:rsid w:val="0DDC5764"/>
    <w:rsid w:val="0E590FBE"/>
    <w:rsid w:val="10735F61"/>
    <w:rsid w:val="10E91763"/>
    <w:rsid w:val="1120659A"/>
    <w:rsid w:val="116D2A6F"/>
    <w:rsid w:val="11EB3617"/>
    <w:rsid w:val="12BA44A2"/>
    <w:rsid w:val="14D12CA4"/>
    <w:rsid w:val="192A1FD1"/>
    <w:rsid w:val="19917461"/>
    <w:rsid w:val="19EE41D7"/>
    <w:rsid w:val="1B3702B3"/>
    <w:rsid w:val="1B7D3F21"/>
    <w:rsid w:val="1C71263D"/>
    <w:rsid w:val="1D810E06"/>
    <w:rsid w:val="1D921D32"/>
    <w:rsid w:val="1DE275B3"/>
    <w:rsid w:val="1DF92E64"/>
    <w:rsid w:val="1EAE1EFC"/>
    <w:rsid w:val="1F8B6805"/>
    <w:rsid w:val="1FDB1DCF"/>
    <w:rsid w:val="201472A9"/>
    <w:rsid w:val="20AA431F"/>
    <w:rsid w:val="21ED6D2F"/>
    <w:rsid w:val="224B7B2E"/>
    <w:rsid w:val="22785192"/>
    <w:rsid w:val="246E4E23"/>
    <w:rsid w:val="262021C0"/>
    <w:rsid w:val="27A17266"/>
    <w:rsid w:val="2862326B"/>
    <w:rsid w:val="29B90473"/>
    <w:rsid w:val="29CF68D6"/>
    <w:rsid w:val="2A607479"/>
    <w:rsid w:val="2B0527DA"/>
    <w:rsid w:val="2B0B0312"/>
    <w:rsid w:val="2D1A27A3"/>
    <w:rsid w:val="2E855084"/>
    <w:rsid w:val="2E8844BD"/>
    <w:rsid w:val="2ECF2651"/>
    <w:rsid w:val="33EB3ED7"/>
    <w:rsid w:val="342951B3"/>
    <w:rsid w:val="34703ECD"/>
    <w:rsid w:val="35374098"/>
    <w:rsid w:val="35754EBE"/>
    <w:rsid w:val="3699619D"/>
    <w:rsid w:val="378E064D"/>
    <w:rsid w:val="37BF72B9"/>
    <w:rsid w:val="384E186E"/>
    <w:rsid w:val="38644CBC"/>
    <w:rsid w:val="38CC0046"/>
    <w:rsid w:val="396A2001"/>
    <w:rsid w:val="3A8F0342"/>
    <w:rsid w:val="3ACE1014"/>
    <w:rsid w:val="3AD17CC0"/>
    <w:rsid w:val="3B4B7891"/>
    <w:rsid w:val="3C2F5B63"/>
    <w:rsid w:val="3D311499"/>
    <w:rsid w:val="3F9704A7"/>
    <w:rsid w:val="3FAD4353"/>
    <w:rsid w:val="4095316F"/>
    <w:rsid w:val="419A7633"/>
    <w:rsid w:val="419B477D"/>
    <w:rsid w:val="43694FE1"/>
    <w:rsid w:val="44B03B70"/>
    <w:rsid w:val="45933281"/>
    <w:rsid w:val="45D57C0A"/>
    <w:rsid w:val="45E82C57"/>
    <w:rsid w:val="465E52EC"/>
    <w:rsid w:val="466A5FB6"/>
    <w:rsid w:val="47F91D43"/>
    <w:rsid w:val="4B0F1AB9"/>
    <w:rsid w:val="4C942D25"/>
    <w:rsid w:val="4CA13C8F"/>
    <w:rsid w:val="4D1724F5"/>
    <w:rsid w:val="4D7C0F8F"/>
    <w:rsid w:val="4E7578EF"/>
    <w:rsid w:val="52CE156C"/>
    <w:rsid w:val="53D63C93"/>
    <w:rsid w:val="54435D48"/>
    <w:rsid w:val="553B1793"/>
    <w:rsid w:val="557E0705"/>
    <w:rsid w:val="55BB1189"/>
    <w:rsid w:val="5755228E"/>
    <w:rsid w:val="58064366"/>
    <w:rsid w:val="58345FFC"/>
    <w:rsid w:val="596C65A2"/>
    <w:rsid w:val="59C216F0"/>
    <w:rsid w:val="59F40417"/>
    <w:rsid w:val="5AAA7AA4"/>
    <w:rsid w:val="5BCD4DE9"/>
    <w:rsid w:val="5C99296B"/>
    <w:rsid w:val="5DEA1215"/>
    <w:rsid w:val="60940E38"/>
    <w:rsid w:val="60B07713"/>
    <w:rsid w:val="60CD77D9"/>
    <w:rsid w:val="61691A10"/>
    <w:rsid w:val="61E63C80"/>
    <w:rsid w:val="61F96BA0"/>
    <w:rsid w:val="63A974DC"/>
    <w:rsid w:val="660A5D3C"/>
    <w:rsid w:val="6653337B"/>
    <w:rsid w:val="67204E8B"/>
    <w:rsid w:val="68F97182"/>
    <w:rsid w:val="69BE354F"/>
    <w:rsid w:val="6A991039"/>
    <w:rsid w:val="6ADD03DE"/>
    <w:rsid w:val="6B034982"/>
    <w:rsid w:val="6B89047E"/>
    <w:rsid w:val="6C146BC2"/>
    <w:rsid w:val="6DFA5D98"/>
    <w:rsid w:val="6EC14A65"/>
    <w:rsid w:val="6EE8799F"/>
    <w:rsid w:val="6F9024F0"/>
    <w:rsid w:val="702937DC"/>
    <w:rsid w:val="709277BE"/>
    <w:rsid w:val="709C3515"/>
    <w:rsid w:val="70F33827"/>
    <w:rsid w:val="715A6E0B"/>
    <w:rsid w:val="756E33AB"/>
    <w:rsid w:val="75981FD5"/>
    <w:rsid w:val="763648EE"/>
    <w:rsid w:val="78A82DB6"/>
    <w:rsid w:val="79440B78"/>
    <w:rsid w:val="79505CFA"/>
    <w:rsid w:val="79B45BA4"/>
    <w:rsid w:val="79C9683B"/>
    <w:rsid w:val="7BA44DAF"/>
    <w:rsid w:val="7C924C54"/>
    <w:rsid w:val="7CBE328A"/>
    <w:rsid w:val="7D333E85"/>
    <w:rsid w:val="7D502747"/>
    <w:rsid w:val="7D695027"/>
    <w:rsid w:val="7E0F4BC4"/>
    <w:rsid w:val="7F253D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link w:val="20"/>
    <w:qFormat/>
    <w:uiPriority w:val="0"/>
    <w:pPr>
      <w:keepLines/>
      <w:spacing w:before="120" w:after="120" w:line="578" w:lineRule="auto"/>
      <w:jc w:val="center"/>
      <w:outlineLvl w:val="0"/>
    </w:pPr>
    <w:rPr>
      <w:b/>
      <w:bCs/>
      <w:kern w:val="44"/>
      <w:sz w:val="44"/>
      <w:szCs w:val="44"/>
    </w:rPr>
  </w:style>
  <w:style w:type="paragraph" w:styleId="3">
    <w:name w:val="heading 2"/>
    <w:basedOn w:val="1"/>
    <w:next w:val="1"/>
    <w:link w:val="21"/>
    <w:unhideWhenUsed/>
    <w:qFormat/>
    <w:uiPriority w:val="0"/>
    <w:pPr>
      <w:keepNext/>
      <w:keepLines/>
      <w:spacing w:line="480"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0"/>
    <w:pPr>
      <w:keepNext/>
      <w:keepLines/>
      <w:spacing w:before="260" w:after="260" w:line="416" w:lineRule="auto"/>
      <w:outlineLvl w:val="2"/>
    </w:pPr>
    <w:rPr>
      <w:b/>
      <w:bCs/>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rPr>
      <w:rFonts w:eastAsia="宋体" w:cs="Times New Roman"/>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8"/>
    <w:qFormat/>
    <w:uiPriority w:val="99"/>
    <w:rPr>
      <w:rFonts w:ascii="Times New Roman" w:hAnsi="Times New Roman"/>
      <w:sz w:val="18"/>
      <w:szCs w:val="18"/>
    </w:rPr>
  </w:style>
  <w:style w:type="character" w:customStyle="1" w:styleId="16">
    <w:name w:val="页脚 字符"/>
    <w:basedOn w:val="13"/>
    <w:link w:val="7"/>
    <w:qFormat/>
    <w:uiPriority w:val="99"/>
    <w:rPr>
      <w:rFonts w:ascii="Times New Roman" w:hAnsi="Times New Roman"/>
      <w:sz w:val="18"/>
      <w:szCs w:val="18"/>
    </w:rPr>
  </w:style>
  <w:style w:type="character" w:customStyle="1" w:styleId="17">
    <w:name w:val="批注框文本 字符"/>
    <w:basedOn w:val="13"/>
    <w:link w:val="6"/>
    <w:semiHidden/>
    <w:qFormat/>
    <w:uiPriority w:val="99"/>
    <w:rPr>
      <w:rFonts w:ascii="Times New Roman" w:hAnsi="Times New Roman"/>
      <w:sz w:val="18"/>
      <w:szCs w:val="18"/>
    </w:rPr>
  </w:style>
  <w:style w:type="character" w:customStyle="1" w:styleId="18">
    <w:name w:val="标题 3 字符"/>
    <w:basedOn w:val="13"/>
    <w:link w:val="4"/>
    <w:qFormat/>
    <w:uiPriority w:val="0"/>
    <w:rPr>
      <w:rFonts w:ascii="Times New Roman" w:hAnsi="Times New Roman"/>
      <w:b/>
      <w:bCs/>
      <w:szCs w:val="32"/>
    </w:rPr>
  </w:style>
  <w:style w:type="paragraph" w:customStyle="1" w:styleId="1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0">
    <w:name w:val="标题 1 字符"/>
    <w:basedOn w:val="13"/>
    <w:link w:val="2"/>
    <w:qFormat/>
    <w:uiPriority w:val="0"/>
    <w:rPr>
      <w:rFonts w:eastAsiaTheme="minorEastAsia" w:cstheme="minorBidi"/>
      <w:b/>
      <w:bCs/>
      <w:kern w:val="44"/>
      <w:sz w:val="44"/>
      <w:szCs w:val="44"/>
    </w:rPr>
  </w:style>
  <w:style w:type="character" w:customStyle="1" w:styleId="21">
    <w:name w:val="标题 2 字符"/>
    <w:basedOn w:val="13"/>
    <w:link w:val="3"/>
    <w:qFormat/>
    <w:uiPriority w:val="0"/>
    <w:rPr>
      <w:rFonts w:asciiTheme="majorHAnsi" w:hAnsiTheme="majorHAnsi" w:eastAsiaTheme="majorEastAsia" w:cstheme="majorBidi"/>
      <w:b/>
      <w:bCs/>
      <w:kern w:val="2"/>
      <w:sz w:val="32"/>
      <w:szCs w:val="32"/>
    </w:rPr>
  </w:style>
  <w:style w:type="paragraph" w:styleId="22">
    <w:name w:val="List Paragraph"/>
    <w:basedOn w:val="1"/>
    <w:unhideWhenUsed/>
    <w:qFormat/>
    <w:uiPriority w:val="99"/>
    <w:pPr>
      <w:ind w:firstLine="420" w:firstLineChars="200"/>
    </w:pPr>
  </w:style>
  <w:style w:type="paragraph" w:customStyle="1" w:styleId="23">
    <w:name w:val="List Paragraph1"/>
    <w:basedOn w:val="1"/>
    <w:semiHidden/>
    <w:qFormat/>
    <w:uiPriority w:val="0"/>
    <w:pPr>
      <w:ind w:firstLine="420" w:firstLineChars="200"/>
    </w:pPr>
    <w:rPr>
      <w:rFonts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0DAAD-EF15-439D-913B-960ED5DBADAD}">
  <ds:schemaRefs/>
</ds:datastoreItem>
</file>

<file path=docProps/app.xml><?xml version="1.0" encoding="utf-8"?>
<Properties xmlns="http://schemas.openxmlformats.org/officeDocument/2006/extended-properties" xmlns:vt="http://schemas.openxmlformats.org/officeDocument/2006/docPropsVTypes">
  <Template>Normal.dotm</Template>
  <Company>Copyright ©南京中卫信软件科技有限公司, All right reserved.</Company>
  <Pages>22</Pages>
  <Words>6008</Words>
  <Characters>6284</Characters>
  <Lines>49</Lines>
  <Paragraphs>13</Paragraphs>
  <TotalTime>5</TotalTime>
  <ScaleCrop>false</ScaleCrop>
  <LinksUpToDate>false</LinksUpToDate>
  <CharactersWithSpaces>6362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2021-12-29T02:32:00Z</dcterms:created>
  <dc:creator>Administrator</dc:creator>
  <cp:lastModifiedBy>TOMY</cp:lastModifiedBy>
  <dcterms:modified xsi:type="dcterms:W3CDTF">2023-06-20T06:32:18Z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8C500858EAE24E058E386BE29C61E1A5</vt:lpwstr>
  </property>
</Properties>
</file>