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0E" w:rsidRDefault="0068370E" w:rsidP="0068370E">
      <w:pPr>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 xml:space="preserve">1 </w:t>
      </w:r>
    </w:p>
    <w:p w:rsidR="0068370E" w:rsidRDefault="0068370E" w:rsidP="0068370E">
      <w:pPr>
        <w:jc w:val="center"/>
        <w:rPr>
          <w:rFonts w:ascii="黑体" w:eastAsia="黑体" w:hAnsi="黑体"/>
          <w:sz w:val="44"/>
          <w:szCs w:val="44"/>
        </w:rPr>
      </w:pPr>
      <w:bookmarkStart w:id="0" w:name="_GoBack"/>
      <w:r>
        <w:rPr>
          <w:rFonts w:ascii="方正小标宋_GBK" w:eastAsia="方正小标宋_GBK" w:hAnsi="宋体" w:cs="宋体" w:hint="eastAsia"/>
          <w:kern w:val="0"/>
          <w:sz w:val="44"/>
          <w:szCs w:val="44"/>
        </w:rPr>
        <w:t>2026年卫生健康地方标准项目需求指南</w:t>
      </w:r>
    </w:p>
    <w:tbl>
      <w:tblPr>
        <w:tblpPr w:leftFromText="180" w:rightFromText="180" w:vertAnchor="page" w:horzAnchor="margin" w:tblpXSpec="center" w:tblpY="3421"/>
        <w:tblW w:w="14560" w:type="dxa"/>
        <w:tblLook w:val="04A0" w:firstRow="1" w:lastRow="0" w:firstColumn="1" w:lastColumn="0" w:noHBand="0" w:noVBand="1"/>
      </w:tblPr>
      <w:tblGrid>
        <w:gridCol w:w="620"/>
        <w:gridCol w:w="906"/>
        <w:gridCol w:w="709"/>
        <w:gridCol w:w="2126"/>
        <w:gridCol w:w="10199"/>
      </w:tblGrid>
      <w:tr w:rsidR="0068370E" w:rsidTr="00F43C30">
        <w:trPr>
          <w:trHeight w:val="1124"/>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bookmarkEnd w:id="0"/>
          <w:p w:rsidR="0068370E" w:rsidRDefault="0068370E" w:rsidP="00F43C30">
            <w:pPr>
              <w:widowControl/>
              <w:jc w:val="center"/>
              <w:rPr>
                <w:rFonts w:ascii="方正黑体_GBK" w:eastAsia="方正黑体_GBK" w:hAnsi="宋体" w:cs="宋体"/>
                <w:kern w:val="0"/>
                <w:sz w:val="22"/>
              </w:rPr>
            </w:pPr>
            <w:r>
              <w:rPr>
                <w:rFonts w:ascii="方正黑体_GBK" w:eastAsia="方正黑体_GBK" w:hAnsi="宋体" w:cs="宋体" w:hint="eastAsia"/>
                <w:kern w:val="0"/>
                <w:sz w:val="22"/>
              </w:rPr>
              <w:t>序号</w:t>
            </w:r>
          </w:p>
        </w:tc>
        <w:tc>
          <w:tcPr>
            <w:tcW w:w="906" w:type="dxa"/>
            <w:tcBorders>
              <w:top w:val="single" w:sz="4" w:space="0" w:color="auto"/>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方正黑体_GBK" w:eastAsia="方正黑体_GBK" w:hAnsi="宋体" w:cs="宋体"/>
                <w:kern w:val="0"/>
                <w:sz w:val="22"/>
              </w:rPr>
            </w:pPr>
            <w:r>
              <w:rPr>
                <w:rFonts w:ascii="方正黑体_GBK" w:eastAsia="方正黑体_GBK" w:hAnsi="宋体" w:cs="宋体" w:hint="eastAsia"/>
                <w:kern w:val="0"/>
                <w:sz w:val="22"/>
              </w:rPr>
              <w:t>归口</w:t>
            </w:r>
          </w:p>
          <w:p w:rsidR="0068370E" w:rsidRDefault="0068370E" w:rsidP="00F43C30">
            <w:pPr>
              <w:widowControl/>
              <w:jc w:val="center"/>
              <w:rPr>
                <w:rFonts w:ascii="方正黑体_GBK" w:eastAsia="方正黑体_GBK" w:hAnsi="宋体" w:cs="宋体"/>
                <w:kern w:val="0"/>
                <w:sz w:val="22"/>
              </w:rPr>
            </w:pPr>
            <w:r>
              <w:rPr>
                <w:rFonts w:ascii="方正黑体_GBK" w:eastAsia="方正黑体_GBK" w:hAnsi="宋体" w:cs="宋体" w:hint="eastAsia"/>
                <w:kern w:val="0"/>
                <w:sz w:val="22"/>
              </w:rPr>
              <w:t>处室</w:t>
            </w:r>
          </w:p>
        </w:tc>
        <w:tc>
          <w:tcPr>
            <w:tcW w:w="709" w:type="dxa"/>
            <w:tcBorders>
              <w:top w:val="single" w:sz="4" w:space="0" w:color="auto"/>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方正黑体_GBK" w:eastAsia="方正黑体_GBK" w:hAnsi="宋体" w:cs="宋体"/>
                <w:kern w:val="0"/>
                <w:sz w:val="22"/>
              </w:rPr>
            </w:pPr>
            <w:r>
              <w:rPr>
                <w:rFonts w:ascii="方正黑体_GBK" w:eastAsia="方正黑体_GBK" w:hAnsi="宋体" w:cs="宋体" w:hint="eastAsia"/>
                <w:kern w:val="0"/>
                <w:sz w:val="22"/>
              </w:rPr>
              <w:t>板块分组</w:t>
            </w:r>
          </w:p>
        </w:tc>
        <w:tc>
          <w:tcPr>
            <w:tcW w:w="2126" w:type="dxa"/>
            <w:tcBorders>
              <w:top w:val="single" w:sz="4" w:space="0" w:color="auto"/>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方正黑体_GBK" w:eastAsia="方正黑体_GBK" w:hAnsi="宋体" w:cs="宋体"/>
                <w:kern w:val="0"/>
                <w:sz w:val="22"/>
              </w:rPr>
            </w:pPr>
            <w:r>
              <w:rPr>
                <w:rFonts w:ascii="方正黑体_GBK" w:eastAsia="方正黑体_GBK" w:hAnsi="宋体" w:cs="宋体" w:hint="eastAsia"/>
                <w:kern w:val="0"/>
                <w:sz w:val="22"/>
              </w:rPr>
              <w:t>立项需求名称</w:t>
            </w:r>
          </w:p>
        </w:tc>
        <w:tc>
          <w:tcPr>
            <w:tcW w:w="10199" w:type="dxa"/>
            <w:tcBorders>
              <w:top w:val="single" w:sz="4" w:space="0" w:color="auto"/>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方正黑体_GBK" w:eastAsia="方正黑体_GBK" w:hAnsi="宋体" w:cs="宋体"/>
                <w:kern w:val="0"/>
                <w:sz w:val="22"/>
              </w:rPr>
            </w:pPr>
            <w:r>
              <w:rPr>
                <w:rFonts w:ascii="方正黑体_GBK" w:eastAsia="方正黑体_GBK" w:hAnsi="宋体" w:cs="宋体" w:hint="eastAsia"/>
                <w:kern w:val="0"/>
                <w:sz w:val="22"/>
              </w:rPr>
              <w:t>主要内容及拟解决问题</w:t>
            </w:r>
          </w:p>
        </w:tc>
      </w:tr>
      <w:tr w:rsidR="0068370E" w:rsidTr="00F43C30">
        <w:trPr>
          <w:trHeight w:val="4182"/>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1</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proofErr w:type="gramStart"/>
            <w:r>
              <w:rPr>
                <w:rFonts w:ascii="仿宋" w:eastAsia="仿宋" w:hAnsi="仿宋" w:cs="宋体" w:hint="eastAsia"/>
                <w:kern w:val="0"/>
                <w:sz w:val="22"/>
              </w:rPr>
              <w:t>医</w:t>
            </w:r>
            <w:proofErr w:type="gramEnd"/>
            <w:r>
              <w:rPr>
                <w:rFonts w:ascii="仿宋" w:eastAsia="仿宋" w:hAnsi="仿宋" w:cs="宋体" w:hint="eastAsia"/>
                <w:kern w:val="0"/>
                <w:sz w:val="22"/>
              </w:rPr>
              <w:t>政处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医疗卫生</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“互联网+护理服务”质量控制与安全管理规范</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从我市目前的实际情况来看，重庆市正在推进市级层面互联网+护理平台建设，更需要建设安全质量标准。理由如下。第一，政策上有明确要求。国家试点方案规定得很清楚，开展互联网+护理服务，必须先建立质量控制体系，保障服务安全。这是前置条件。安全底线没有划定清楚，后续推出任何技术规范，在执行层面都会缺乏基本保障。</w:t>
            </w:r>
            <w:r>
              <w:rPr>
                <w:rFonts w:ascii="仿宋" w:eastAsia="仿宋" w:hAnsi="仿宋" w:cs="宋体" w:hint="eastAsia"/>
                <w:kern w:val="0"/>
                <w:sz w:val="22"/>
              </w:rPr>
              <w:br/>
              <w:t>第二，重庆的现实问题更紧迫。</w:t>
            </w:r>
            <w:r>
              <w:rPr>
                <w:rFonts w:ascii="仿宋" w:eastAsia="仿宋" w:hAnsi="仿宋" w:cs="宋体" w:hint="eastAsia"/>
                <w:kern w:val="0"/>
                <w:sz w:val="22"/>
              </w:rPr>
              <w:br/>
              <w:t>我们重庆老龄化程度高，护理资源又相对不足，整个互联网护理服务还在起步阶段。这个阶段最突出的矛盾，是服务的安全监管还没跟上——比如护士资质怎么管、服务边界在哪、出了不良事件按什么流程处理，这些都不明确。试点过程中已经出现过因操作不规范导致的纠纷和不良事件。如果我们现阶段先去</w:t>
            </w:r>
            <w:proofErr w:type="gramStart"/>
            <w:r>
              <w:rPr>
                <w:rFonts w:ascii="仿宋" w:eastAsia="仿宋" w:hAnsi="仿宋" w:cs="宋体" w:hint="eastAsia"/>
                <w:kern w:val="0"/>
                <w:sz w:val="22"/>
              </w:rPr>
              <w:t>做针对</w:t>
            </w:r>
            <w:proofErr w:type="gramEnd"/>
            <w:r>
              <w:rPr>
                <w:rFonts w:ascii="仿宋" w:eastAsia="仿宋" w:hAnsi="仿宋" w:cs="宋体" w:hint="eastAsia"/>
                <w:kern w:val="0"/>
                <w:sz w:val="22"/>
              </w:rPr>
              <w:t>高龄失能老人的技术规范，等于是在安全机制尚不健全的情况下，把服务导向了最脆弱的群体。一旦出现安全问题，损害的不仅是患者，更是整个行业的社会信任。从这个角度讲，安全标准的需求确实更为紧迫。</w:t>
            </w:r>
            <w:r>
              <w:rPr>
                <w:rFonts w:ascii="仿宋" w:eastAsia="仿宋" w:hAnsi="仿宋" w:cs="宋体" w:hint="eastAsia"/>
                <w:kern w:val="0"/>
                <w:sz w:val="22"/>
              </w:rPr>
              <w:br/>
              <w:t>第三，从标准体系的逻辑顺序来看，也应该</w:t>
            </w:r>
            <w:proofErr w:type="gramStart"/>
            <w:r>
              <w:rPr>
                <w:rFonts w:ascii="仿宋" w:eastAsia="仿宋" w:hAnsi="仿宋" w:cs="宋体" w:hint="eastAsia"/>
                <w:kern w:val="0"/>
                <w:sz w:val="22"/>
              </w:rPr>
              <w:t>先安全</w:t>
            </w:r>
            <w:proofErr w:type="gramEnd"/>
            <w:r>
              <w:rPr>
                <w:rFonts w:ascii="仿宋" w:eastAsia="仿宋" w:hAnsi="仿宋" w:cs="宋体" w:hint="eastAsia"/>
                <w:kern w:val="0"/>
                <w:sz w:val="22"/>
              </w:rPr>
              <w:t>后技术。</w:t>
            </w:r>
            <w:r>
              <w:rPr>
                <w:rFonts w:ascii="仿宋" w:eastAsia="仿宋" w:hAnsi="仿宋" w:cs="宋体" w:hint="eastAsia"/>
                <w:kern w:val="0"/>
                <w:sz w:val="22"/>
              </w:rPr>
              <w:br/>
              <w:t>其他先行省市，比如浙江、广东，他们的路径都是先出台质量管理规范、安全管理制度，然后在这个框架下再逐步推出各类专科技术标准。这个顺序有它的道理——先解决“谁能做、能做什么、怎么监管、出事怎么处置”这些共性问题，后面的技术规范才有依托。</w:t>
            </w:r>
          </w:p>
        </w:tc>
      </w:tr>
      <w:tr w:rsidR="0068370E" w:rsidTr="00F43C30">
        <w:trPr>
          <w:trHeight w:val="2545"/>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lastRenderedPageBreak/>
              <w:t>2</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proofErr w:type="gramStart"/>
            <w:r>
              <w:rPr>
                <w:rFonts w:ascii="仿宋" w:eastAsia="仿宋" w:hAnsi="仿宋" w:cs="宋体" w:hint="eastAsia"/>
                <w:kern w:val="0"/>
                <w:sz w:val="22"/>
              </w:rPr>
              <w:t>医</w:t>
            </w:r>
            <w:proofErr w:type="gramEnd"/>
            <w:r>
              <w:rPr>
                <w:rFonts w:ascii="仿宋" w:eastAsia="仿宋" w:hAnsi="仿宋" w:cs="宋体" w:hint="eastAsia"/>
                <w:kern w:val="0"/>
                <w:sz w:val="22"/>
              </w:rPr>
              <w:t>政处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医疗卫生</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医疗机构专科护理门诊管理与质量评价规范</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主要内容：本标准明确重庆市各级医疗机构专科护理门诊设置、服务、质量评价、持续</w:t>
            </w:r>
            <w:proofErr w:type="gramStart"/>
            <w:r>
              <w:rPr>
                <w:rFonts w:ascii="仿宋" w:eastAsia="仿宋" w:hAnsi="仿宋" w:cs="宋体" w:hint="eastAsia"/>
                <w:kern w:val="0"/>
                <w:sz w:val="22"/>
              </w:rPr>
              <w:t>改进全</w:t>
            </w:r>
            <w:proofErr w:type="gramEnd"/>
            <w:r>
              <w:rPr>
                <w:rFonts w:ascii="仿宋" w:eastAsia="仿宋" w:hAnsi="仿宋" w:cs="宋体" w:hint="eastAsia"/>
                <w:kern w:val="0"/>
                <w:sz w:val="22"/>
              </w:rPr>
              <w:t>流程要求，统一门诊场地设施、专科护士准入等基础设置标准，规范接诊、干预、随访等服务流程，建立服务、管理、安全三大维度量化质量评价指标体系，制定评价结果应用与长效改进机制，形成可复制、可落地的专科护理门诊规范化管理与质量评价体系。解决问题：1. 解决专科护理门诊设置不统一，各级机构场地、人员、制度标准各异，服务能力参差不齐的问题；2. 解决服务流程操作不规范，接诊、干预等环节无统一指引，专业性、同质化难以保障的问题；3. 解决质量评价无量化依据，缺乏统一指标体系，服务效果无法科学衡量、优劣难以对比的问题；4. 解决管理机制不健全，风险防控、持续改进机制缺失，影响服务安全与质量提升的问题，填补重庆专科护理门诊标准化管理空白。</w:t>
            </w:r>
          </w:p>
        </w:tc>
      </w:tr>
      <w:tr w:rsidR="0068370E" w:rsidTr="00F43C30">
        <w:trPr>
          <w:trHeight w:val="1080"/>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3</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老龄处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医疗卫生</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proofErr w:type="gramStart"/>
            <w:r>
              <w:rPr>
                <w:rFonts w:ascii="仿宋" w:eastAsia="仿宋" w:hAnsi="仿宋" w:cs="宋体" w:hint="eastAsia"/>
                <w:kern w:val="0"/>
                <w:sz w:val="22"/>
              </w:rPr>
              <w:t>安宁疗护病历</w:t>
            </w:r>
            <w:proofErr w:type="gramEnd"/>
            <w:r>
              <w:rPr>
                <w:rFonts w:ascii="仿宋" w:eastAsia="仿宋" w:hAnsi="仿宋" w:cs="宋体" w:hint="eastAsia"/>
                <w:kern w:val="0"/>
                <w:sz w:val="22"/>
              </w:rPr>
              <w:t>书写规范（门诊病历及住院病历书写规范）</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主要内容：明确</w:t>
            </w:r>
            <w:proofErr w:type="gramStart"/>
            <w:r>
              <w:rPr>
                <w:rFonts w:ascii="仿宋" w:eastAsia="仿宋" w:hAnsi="仿宋" w:cs="宋体" w:hint="eastAsia"/>
                <w:kern w:val="0"/>
                <w:sz w:val="22"/>
              </w:rPr>
              <w:t>安宁疗护病历</w:t>
            </w:r>
            <w:proofErr w:type="gramEnd"/>
            <w:r>
              <w:rPr>
                <w:rFonts w:ascii="仿宋" w:eastAsia="仿宋" w:hAnsi="仿宋" w:cs="宋体" w:hint="eastAsia"/>
                <w:kern w:val="0"/>
                <w:sz w:val="22"/>
              </w:rPr>
              <w:t>的术语和定义、基本原则、服务对象、病历书写内容和流程、质量管理与改进等内容。</w:t>
            </w:r>
            <w:r>
              <w:rPr>
                <w:rFonts w:ascii="仿宋" w:eastAsia="仿宋" w:hAnsi="仿宋" w:cs="宋体" w:hint="eastAsia"/>
                <w:kern w:val="0"/>
                <w:sz w:val="22"/>
              </w:rPr>
              <w:br/>
              <w:t>解决现行以治病为中心的《病历书写基本规范》无法应对以提高生命质量为重点的安宁</w:t>
            </w:r>
            <w:proofErr w:type="gramStart"/>
            <w:r>
              <w:rPr>
                <w:rFonts w:ascii="仿宋" w:eastAsia="仿宋" w:hAnsi="仿宋" w:cs="宋体" w:hint="eastAsia"/>
                <w:kern w:val="0"/>
                <w:sz w:val="22"/>
              </w:rPr>
              <w:t>疗护医疗</w:t>
            </w:r>
            <w:proofErr w:type="gramEnd"/>
            <w:r>
              <w:rPr>
                <w:rFonts w:ascii="仿宋" w:eastAsia="仿宋" w:hAnsi="仿宋" w:cs="宋体" w:hint="eastAsia"/>
                <w:kern w:val="0"/>
                <w:sz w:val="22"/>
              </w:rPr>
              <w:t>目标错位。</w:t>
            </w:r>
          </w:p>
        </w:tc>
      </w:tr>
      <w:tr w:rsidR="0068370E" w:rsidTr="00F43C30">
        <w:trPr>
          <w:trHeight w:val="699"/>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4</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妇幼处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医疗卫生</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重庆市儿童身高体重管理门诊建设规范</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适用于各级妇幼机构及基层社区卫生服务中心，覆盖孕前、孕期及0～18岁儿童青少年，构建“孕前-孕期-0-6岁-6-18岁”全生命周期身高体重管理体系，明确“基层-区县-市级”三级转诊管理机制，衔接各类相关标准，突出妇幼专属定位，贴合我市妇幼体系及基层卫生服务实际。主要内容包括：一是统一全生命周期管理及多维</w:t>
            </w:r>
            <w:proofErr w:type="gramStart"/>
            <w:r>
              <w:rPr>
                <w:rFonts w:ascii="仿宋" w:eastAsia="仿宋" w:hAnsi="仿宋" w:cs="宋体" w:hint="eastAsia"/>
                <w:kern w:val="0"/>
                <w:sz w:val="22"/>
              </w:rPr>
              <w:t>度综合</w:t>
            </w:r>
            <w:proofErr w:type="gramEnd"/>
            <w:r>
              <w:rPr>
                <w:rFonts w:ascii="仿宋" w:eastAsia="仿宋" w:hAnsi="仿宋" w:cs="宋体" w:hint="eastAsia"/>
                <w:kern w:val="0"/>
                <w:sz w:val="22"/>
              </w:rPr>
              <w:t>服务相关术语，衔接相关标准，避免理解偏差；明确“生命早期1000天”“医学营养治疗（MNT）”“BMI-Z评分”“追赶生长”“三级转诊”等专业术语，区分病理性与生理性生长迟缓的定义，确保表述精准、专业规范。二是门诊设置与功能定位：</w:t>
            </w:r>
            <w:proofErr w:type="gramStart"/>
            <w:r>
              <w:rPr>
                <w:rFonts w:ascii="仿宋" w:eastAsia="仿宋" w:hAnsi="仿宋" w:cs="宋体" w:hint="eastAsia"/>
                <w:kern w:val="0"/>
                <w:sz w:val="22"/>
              </w:rPr>
              <w:t>明确全</w:t>
            </w:r>
            <w:proofErr w:type="gramEnd"/>
            <w:r>
              <w:rPr>
                <w:rFonts w:ascii="仿宋" w:eastAsia="仿宋" w:hAnsi="仿宋" w:cs="宋体" w:hint="eastAsia"/>
                <w:kern w:val="0"/>
                <w:sz w:val="22"/>
              </w:rPr>
              <w:t>生命周期、六位一体（预防—筛查—评估—干预—随访</w:t>
            </w:r>
            <w:proofErr w:type="gramStart"/>
            <w:r>
              <w:rPr>
                <w:rFonts w:ascii="仿宋" w:eastAsia="仿宋" w:hAnsi="仿宋" w:cs="宋体" w:hint="eastAsia"/>
                <w:kern w:val="0"/>
                <w:sz w:val="22"/>
              </w:rPr>
              <w:t>—健康</w:t>
            </w:r>
            <w:proofErr w:type="gramEnd"/>
            <w:r>
              <w:rPr>
                <w:rFonts w:ascii="仿宋" w:eastAsia="仿宋" w:hAnsi="仿宋" w:cs="宋体" w:hint="eastAsia"/>
                <w:kern w:val="0"/>
                <w:sz w:val="22"/>
              </w:rPr>
              <w:t>促进）功能，构建“基层-区县-市级”三级身高体重管理体系，明确各级机构职责，推动协同联动；单独设置营养评估与咨询室、睡眠监测室、中医调理室、心理疏导室，配备对应设施设备，增设“个体化膳食厨房”展示区，提升家庭干预可操作性和依从性，实现各阶段服务无缝衔接、多维</w:t>
            </w:r>
            <w:proofErr w:type="gramStart"/>
            <w:r>
              <w:rPr>
                <w:rFonts w:ascii="仿宋" w:eastAsia="仿宋" w:hAnsi="仿宋" w:cs="宋体" w:hint="eastAsia"/>
                <w:kern w:val="0"/>
                <w:sz w:val="22"/>
              </w:rPr>
              <w:t>度服务</w:t>
            </w:r>
            <w:proofErr w:type="gramEnd"/>
            <w:r>
              <w:rPr>
                <w:rFonts w:ascii="仿宋" w:eastAsia="仿宋" w:hAnsi="仿宋" w:cs="宋体" w:hint="eastAsia"/>
                <w:kern w:val="0"/>
                <w:sz w:val="22"/>
              </w:rPr>
              <w:t>全覆盖，凸显妇幼全方位、全周期综合服务优势。具体体系分工。三是人员、设备以及场地配置，四是服务内容与路径：规范孕前至6-18岁全流程服务，实现各阶段无缝衔接，依托“基层-区县-市级”三级体系，开展闭环管理；覆盖营养、睡眠、运动、中医、心理、生活方式多维</w:t>
            </w:r>
            <w:proofErr w:type="gramStart"/>
            <w:r>
              <w:rPr>
                <w:rFonts w:ascii="仿宋" w:eastAsia="仿宋" w:hAnsi="仿宋" w:cs="宋体" w:hint="eastAsia"/>
                <w:kern w:val="0"/>
                <w:sz w:val="22"/>
              </w:rPr>
              <w:t>度综合</w:t>
            </w:r>
            <w:proofErr w:type="gramEnd"/>
            <w:r>
              <w:rPr>
                <w:rFonts w:ascii="仿宋" w:eastAsia="仿宋" w:hAnsi="仿宋" w:cs="宋体" w:hint="eastAsia"/>
                <w:kern w:val="0"/>
                <w:sz w:val="22"/>
              </w:rPr>
              <w:t>干预，结合权威指南制定具体服务内容，实现妇幼“一站式”全周期综合管理。五是明确各级门诊核心管理制度、各阶段服务衔接机制及“基层-区县-市级”三级转诊管理细则，制定营养、睡眠、心理、</w:t>
            </w:r>
            <w:r>
              <w:rPr>
                <w:rFonts w:ascii="仿宋" w:eastAsia="仿宋" w:hAnsi="仿宋" w:cs="宋体" w:hint="eastAsia"/>
                <w:kern w:val="0"/>
                <w:sz w:val="22"/>
              </w:rPr>
              <w:lastRenderedPageBreak/>
              <w:t>中医、生活方式多维</w:t>
            </w:r>
            <w:proofErr w:type="gramStart"/>
            <w:r>
              <w:rPr>
                <w:rFonts w:ascii="仿宋" w:eastAsia="仿宋" w:hAnsi="仿宋" w:cs="宋体" w:hint="eastAsia"/>
                <w:kern w:val="0"/>
                <w:sz w:val="22"/>
              </w:rPr>
              <w:t>度服务</w:t>
            </w:r>
            <w:proofErr w:type="gramEnd"/>
            <w:r>
              <w:rPr>
                <w:rFonts w:ascii="仿宋" w:eastAsia="仿宋" w:hAnsi="仿宋" w:cs="宋体" w:hint="eastAsia"/>
                <w:kern w:val="0"/>
                <w:sz w:val="22"/>
              </w:rPr>
              <w:t>管理规范，衔接相关标准，建立转诊档案、干预档案，确保服务过程可追溯、可监管，推动服务规范化开展，保障闭环管理落地。六是制定全生命周期、多维度、</w:t>
            </w:r>
            <w:proofErr w:type="gramStart"/>
            <w:r>
              <w:rPr>
                <w:rFonts w:ascii="仿宋" w:eastAsia="仿宋" w:hAnsi="仿宋" w:cs="宋体" w:hint="eastAsia"/>
                <w:kern w:val="0"/>
                <w:sz w:val="22"/>
              </w:rPr>
              <w:t>分级可</w:t>
            </w:r>
            <w:proofErr w:type="gramEnd"/>
            <w:r>
              <w:rPr>
                <w:rFonts w:ascii="仿宋" w:eastAsia="仿宋" w:hAnsi="仿宋" w:cs="宋体" w:hint="eastAsia"/>
                <w:kern w:val="0"/>
                <w:sz w:val="22"/>
              </w:rPr>
              <w:t>量化考核指标，参照相关权威标准设定合理阈值，明确各维度干预效果的考核周期，全面覆盖营养、睡眠、中医、心理等综合管理领域及“基层-区县-市级”三级体系运行情况，同时优化身高体重干预效果的考核表述，区分病理性与生理性生长迟缓的干预差异，确保考核科学精准、贴合实际，为行业监管和服务优化提供全面、可操作的依据，保障全周期综合管理及三级闭环体系高效运行。七是附录包含各阶段、多维</w:t>
            </w:r>
            <w:proofErr w:type="gramStart"/>
            <w:r>
              <w:rPr>
                <w:rFonts w:ascii="仿宋" w:eastAsia="仿宋" w:hAnsi="仿宋" w:cs="宋体" w:hint="eastAsia"/>
                <w:kern w:val="0"/>
                <w:sz w:val="22"/>
              </w:rPr>
              <w:t>度服务</w:t>
            </w:r>
            <w:proofErr w:type="gramEnd"/>
            <w:r>
              <w:rPr>
                <w:rFonts w:ascii="仿宋" w:eastAsia="仿宋" w:hAnsi="仿宋" w:cs="宋体" w:hint="eastAsia"/>
                <w:kern w:val="0"/>
                <w:sz w:val="22"/>
              </w:rPr>
              <w:t>实用模板及标准衔接说明，新增各类实用工具，提升标准可操作性，为标准落地及三级体系运行提供有力支撑。</w:t>
            </w:r>
            <w:r>
              <w:rPr>
                <w:rFonts w:ascii="仿宋" w:eastAsia="仿宋" w:hAnsi="仿宋" w:cs="宋体" w:hint="eastAsia"/>
                <w:kern w:val="0"/>
                <w:sz w:val="22"/>
              </w:rPr>
              <w:br/>
              <w:t>拟解决问题：有效规范妇幼体系及基层全生命周期、多维</w:t>
            </w:r>
            <w:proofErr w:type="gramStart"/>
            <w:r>
              <w:rPr>
                <w:rFonts w:ascii="仿宋" w:eastAsia="仿宋" w:hAnsi="仿宋" w:cs="宋体" w:hint="eastAsia"/>
                <w:kern w:val="0"/>
                <w:sz w:val="22"/>
              </w:rPr>
              <w:t>度综合</w:t>
            </w:r>
            <w:proofErr w:type="gramEnd"/>
            <w:r>
              <w:rPr>
                <w:rFonts w:ascii="仿宋" w:eastAsia="仿宋" w:hAnsi="仿宋" w:cs="宋体" w:hint="eastAsia"/>
                <w:kern w:val="0"/>
                <w:sz w:val="22"/>
              </w:rPr>
              <w:t>管理服务，完善“基层-区县-市级”三级闭环管理体系，填补专项标准空白，提升服务质量和可操作性，同时投入可控、可行性强</w:t>
            </w:r>
          </w:p>
        </w:tc>
      </w:tr>
      <w:tr w:rsidR="0068370E" w:rsidTr="00F43C30">
        <w:trPr>
          <w:trHeight w:val="3540"/>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lastRenderedPageBreak/>
              <w:t>5</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职业健康处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公共卫生</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新就业形态劳动者健康保护指南</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主要内容：1. 建立职业健康安全管理体系，明确组织架构与职责，制定管理制度并建立职业卫生档案；2. 开展职业卫生培训，提升从业人员职业健康和心理健康意识；3. 优化作业环境，完善设备设施及个体防护装备配置；4. 制定快递员职业健康风险防控措施，包括极端天气作业防护、肌肉骨骼疾病预防、职业紧张疏导等；5. 健全应急管理机制，确保工伤参保全覆盖。以降低职业健康风险，提升快递从业人员安全与健康保障水平。</w:t>
            </w:r>
            <w:r>
              <w:rPr>
                <w:rFonts w:ascii="仿宋" w:eastAsia="仿宋" w:hAnsi="仿宋" w:cs="宋体" w:hint="eastAsia"/>
                <w:kern w:val="0"/>
                <w:sz w:val="22"/>
              </w:rPr>
              <w:br/>
              <w:t>解决问题：一是社会稳定需求。快递员群体中，82%为农村户籍，79%未参加职工医疗保险，健康问题可能导致与乡村振兴战略形成冲突。二是降低疾病负担。广东省职业病防治院估算，</w:t>
            </w:r>
            <w:proofErr w:type="gramStart"/>
            <w:r>
              <w:rPr>
                <w:rFonts w:ascii="仿宋" w:eastAsia="仿宋" w:hAnsi="仿宋" w:cs="宋体" w:hint="eastAsia"/>
                <w:kern w:val="0"/>
                <w:sz w:val="22"/>
              </w:rPr>
              <w:t>单例严重</w:t>
            </w:r>
            <w:proofErr w:type="gramEnd"/>
            <w:r>
              <w:rPr>
                <w:rFonts w:ascii="仿宋" w:eastAsia="仿宋" w:hAnsi="仿宋" w:cs="宋体" w:hint="eastAsia"/>
                <w:kern w:val="0"/>
                <w:sz w:val="22"/>
              </w:rPr>
              <w:t>腰肌劳损年均医疗成本超2万元，叠加误工损失，全行业年经济损失逾50亿元。系统性健康管理可降低以上相关支出。三是健康指标改善。通过规范作业流程、强制工时管理等，可使职业相关疾病发生率降低。四是生产效率提升。帮助快递从业人员及时发现和处理职业相关健康问题，减少因健康问题导致的缺勤和误工，从而提高生产效率</w:t>
            </w:r>
            <w:r>
              <w:rPr>
                <w:rFonts w:ascii="Times New Roman" w:eastAsia="仿宋" w:hAnsi="Times New Roman" w:cs="Times New Roman"/>
                <w:kern w:val="0"/>
                <w:sz w:val="22"/>
              </w:rPr>
              <w:t>‌</w:t>
            </w:r>
            <w:r>
              <w:rPr>
                <w:rFonts w:ascii="仿宋" w:eastAsia="仿宋" w:hAnsi="仿宋" w:cs="宋体" w:hint="eastAsia"/>
                <w:kern w:val="0"/>
                <w:sz w:val="22"/>
              </w:rPr>
              <w:t>。</w:t>
            </w:r>
          </w:p>
        </w:tc>
      </w:tr>
      <w:tr w:rsidR="0068370E" w:rsidTr="00F43C30">
        <w:trPr>
          <w:trHeight w:val="1080"/>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6</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职业健康处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公共卫生</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尘肺病康复站建设与管理规范</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本标准</w:t>
            </w:r>
            <w:proofErr w:type="gramStart"/>
            <w:r>
              <w:rPr>
                <w:rFonts w:ascii="仿宋" w:eastAsia="仿宋" w:hAnsi="仿宋" w:cs="宋体" w:hint="eastAsia"/>
                <w:kern w:val="0"/>
                <w:sz w:val="22"/>
              </w:rPr>
              <w:t>拟规定</w:t>
            </w:r>
            <w:proofErr w:type="gramEnd"/>
            <w:r>
              <w:rPr>
                <w:rFonts w:ascii="仿宋" w:eastAsia="仿宋" w:hAnsi="仿宋" w:cs="宋体" w:hint="eastAsia"/>
                <w:kern w:val="0"/>
                <w:sz w:val="22"/>
              </w:rPr>
              <w:t>总则、基本条件、人员队伍、康复服务内容和流程、健康管理、环境建设与管理等内容。本标准规定适用于重庆市范围</w:t>
            </w:r>
            <w:proofErr w:type="gramStart"/>
            <w:r>
              <w:rPr>
                <w:rFonts w:ascii="仿宋" w:eastAsia="仿宋" w:hAnsi="仿宋" w:cs="宋体" w:hint="eastAsia"/>
                <w:kern w:val="0"/>
                <w:sz w:val="22"/>
              </w:rPr>
              <w:t>内基层</w:t>
            </w:r>
            <w:proofErr w:type="gramEnd"/>
            <w:r>
              <w:rPr>
                <w:rFonts w:ascii="仿宋" w:eastAsia="仿宋" w:hAnsi="仿宋" w:cs="宋体" w:hint="eastAsia"/>
                <w:kern w:val="0"/>
                <w:sz w:val="22"/>
              </w:rPr>
              <w:t>医疗机构建设的尘肺病康复站。重庆市康复站建设在全国首创，解决了尘肺病患者康复难、康复远等问题，为了做好康复站的运行管理，指定康复站建设及评估技术规范势在必行。</w:t>
            </w:r>
          </w:p>
        </w:tc>
      </w:tr>
      <w:tr w:rsidR="0068370E" w:rsidTr="00F43C30">
        <w:trPr>
          <w:trHeight w:val="1553"/>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lastRenderedPageBreak/>
              <w:t>7</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中医</w:t>
            </w:r>
            <w:proofErr w:type="gramStart"/>
            <w:r>
              <w:rPr>
                <w:rFonts w:ascii="仿宋" w:eastAsia="仿宋" w:hAnsi="仿宋" w:cs="宋体" w:hint="eastAsia"/>
                <w:kern w:val="0"/>
                <w:sz w:val="22"/>
              </w:rPr>
              <w:t>医</w:t>
            </w:r>
            <w:proofErr w:type="gramEnd"/>
            <w:r>
              <w:rPr>
                <w:rFonts w:ascii="仿宋" w:eastAsia="仿宋" w:hAnsi="仿宋" w:cs="宋体" w:hint="eastAsia"/>
                <w:kern w:val="0"/>
                <w:sz w:val="22"/>
              </w:rPr>
              <w:t>政、中医综合</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中医药</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中医护理门诊服务规范</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规定了中医护理门诊的资源配置、人员资质与管理、服务流程与规范、质量控制、绩效考核等全流程管理要求，明确了中医护理门诊的环境设备设置、出诊人员资质能力、诊疗服务流程、质量监管及激励机制等内容，统一了中医护理门诊技术应用及运行管理的标准。适用于川</w:t>
            </w:r>
            <w:proofErr w:type="gramStart"/>
            <w:r>
              <w:rPr>
                <w:rFonts w:ascii="仿宋" w:eastAsia="仿宋" w:hAnsi="仿宋" w:cs="宋体" w:hint="eastAsia"/>
                <w:kern w:val="0"/>
                <w:sz w:val="22"/>
              </w:rPr>
              <w:t>渝区域</w:t>
            </w:r>
            <w:proofErr w:type="gramEnd"/>
            <w:r>
              <w:rPr>
                <w:rFonts w:ascii="仿宋" w:eastAsia="仿宋" w:hAnsi="仿宋" w:cs="宋体" w:hint="eastAsia"/>
                <w:kern w:val="0"/>
                <w:sz w:val="22"/>
              </w:rPr>
              <w:t>内开展中医护理门诊服务的各级各类中医医疗机构、综合医院、中西医结合医院解决中医护理门诊建设运行不规范、人员资质不统一、服务流程</w:t>
            </w:r>
            <w:proofErr w:type="gramStart"/>
            <w:r>
              <w:rPr>
                <w:rFonts w:ascii="仿宋" w:eastAsia="仿宋" w:hAnsi="仿宋" w:cs="宋体" w:hint="eastAsia"/>
                <w:kern w:val="0"/>
                <w:sz w:val="22"/>
              </w:rPr>
              <w:t>不</w:t>
            </w:r>
            <w:proofErr w:type="gramEnd"/>
            <w:r>
              <w:rPr>
                <w:rFonts w:ascii="仿宋" w:eastAsia="仿宋" w:hAnsi="仿宋" w:cs="宋体" w:hint="eastAsia"/>
                <w:kern w:val="0"/>
                <w:sz w:val="22"/>
              </w:rPr>
              <w:t>标准、质量</w:t>
            </w:r>
            <w:proofErr w:type="gramStart"/>
            <w:r>
              <w:rPr>
                <w:rFonts w:ascii="仿宋" w:eastAsia="仿宋" w:hAnsi="仿宋" w:cs="宋体" w:hint="eastAsia"/>
                <w:kern w:val="0"/>
                <w:sz w:val="22"/>
              </w:rPr>
              <w:t>管控无统一</w:t>
            </w:r>
            <w:proofErr w:type="gramEnd"/>
            <w:r>
              <w:rPr>
                <w:rFonts w:ascii="仿宋" w:eastAsia="仿宋" w:hAnsi="仿宋" w:cs="宋体" w:hint="eastAsia"/>
                <w:kern w:val="0"/>
                <w:sz w:val="22"/>
              </w:rPr>
              <w:t>要求等问题。</w:t>
            </w:r>
          </w:p>
        </w:tc>
      </w:tr>
      <w:tr w:rsidR="0068370E" w:rsidTr="00F43C30">
        <w:trPr>
          <w:trHeight w:val="2160"/>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8</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卫生管理处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公共卫生</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大气环境健康风险预警发布标准</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本标准旨在规范我市大气环境健康风险预警的发布工作，通过构建科学、统一的大气环境健康风险综合评估方法，明确大气环境健康风险分级标准，并据此设定本地化、可操作的预警启动阈值；针对不同风险等级，提出具有针对性和可操作性的公众健康防护建议与重点人群干预措施；同时，系统规定预警发布的责任主体、发布内容、发布时间节点、信息格式、传播渠道等关键要素。本标准着力解决当前我市大气环境健康风险预警工作中存在的技术依据不统一、预警流程不清晰、防护指导缺乏针对性等问题，全面提升公共卫生体系对大气空气污染健康事件的早期识别、精准预警和协同应对能力，切实保障人民群众健康与生命安全。</w:t>
            </w:r>
          </w:p>
        </w:tc>
      </w:tr>
      <w:tr w:rsidR="0068370E" w:rsidTr="00F43C30">
        <w:trPr>
          <w:trHeight w:val="2160"/>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9</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卫生管理处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公共卫生</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医疗机构公共卫生科设置规范</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紧扣</w:t>
            </w:r>
            <w:proofErr w:type="gramStart"/>
            <w:r>
              <w:rPr>
                <w:rFonts w:ascii="仿宋" w:eastAsia="仿宋" w:hAnsi="仿宋" w:cs="宋体" w:hint="eastAsia"/>
                <w:kern w:val="0"/>
                <w:sz w:val="22"/>
              </w:rPr>
              <w:t>疾控事业</w:t>
            </w:r>
            <w:proofErr w:type="gramEnd"/>
            <w:r>
              <w:rPr>
                <w:rFonts w:ascii="仿宋" w:eastAsia="仿宋" w:hAnsi="仿宋" w:cs="宋体" w:hint="eastAsia"/>
                <w:kern w:val="0"/>
                <w:sz w:val="22"/>
              </w:rPr>
              <w:t>高质量发展部署要求，为推动落实</w:t>
            </w:r>
            <w:proofErr w:type="gramStart"/>
            <w:r>
              <w:rPr>
                <w:rFonts w:ascii="仿宋" w:eastAsia="仿宋" w:hAnsi="仿宋" w:cs="宋体" w:hint="eastAsia"/>
                <w:kern w:val="0"/>
                <w:sz w:val="22"/>
              </w:rPr>
              <w:t>医</w:t>
            </w:r>
            <w:proofErr w:type="gramEnd"/>
            <w:r>
              <w:rPr>
                <w:rFonts w:ascii="仿宋" w:eastAsia="仿宋" w:hAnsi="仿宋" w:cs="宋体" w:hint="eastAsia"/>
                <w:kern w:val="0"/>
                <w:sz w:val="22"/>
              </w:rPr>
              <w:t>防融合、</w:t>
            </w:r>
            <w:proofErr w:type="gramStart"/>
            <w:r>
              <w:rPr>
                <w:rFonts w:ascii="仿宋" w:eastAsia="仿宋" w:hAnsi="仿宋" w:cs="宋体" w:hint="eastAsia"/>
                <w:kern w:val="0"/>
                <w:sz w:val="22"/>
              </w:rPr>
              <w:t>医</w:t>
            </w:r>
            <w:proofErr w:type="gramEnd"/>
            <w:r>
              <w:rPr>
                <w:rFonts w:ascii="仿宋" w:eastAsia="仿宋" w:hAnsi="仿宋" w:cs="宋体" w:hint="eastAsia"/>
                <w:kern w:val="0"/>
                <w:sz w:val="22"/>
              </w:rPr>
              <w:t>防协同，制定本标准。本标准聚焦医疗机构</w:t>
            </w:r>
            <w:proofErr w:type="gramStart"/>
            <w:r>
              <w:rPr>
                <w:rFonts w:ascii="仿宋" w:eastAsia="仿宋" w:hAnsi="仿宋" w:cs="宋体" w:hint="eastAsia"/>
                <w:kern w:val="0"/>
                <w:sz w:val="22"/>
              </w:rPr>
              <w:t>疾控职能强化</w:t>
            </w:r>
            <w:proofErr w:type="gramEnd"/>
            <w:r>
              <w:rPr>
                <w:rFonts w:ascii="仿宋" w:eastAsia="仿宋" w:hAnsi="仿宋" w:cs="宋体" w:hint="eastAsia"/>
                <w:kern w:val="0"/>
                <w:sz w:val="22"/>
              </w:rPr>
              <w:t>，规范各级医疗机构公共卫生科建设，涵盖科室设置命名、职能权责、人员配置、设施设备、管理制度、协同机制及考核规范等核心内容。标准针对性解决本地医疗机构公共卫生科设置杂乱、职责模糊、人员配置不足、专业能力薄弱、</w:t>
            </w:r>
            <w:proofErr w:type="gramStart"/>
            <w:r>
              <w:rPr>
                <w:rFonts w:ascii="仿宋" w:eastAsia="仿宋" w:hAnsi="仿宋" w:cs="宋体" w:hint="eastAsia"/>
                <w:kern w:val="0"/>
                <w:sz w:val="22"/>
              </w:rPr>
              <w:t>医</w:t>
            </w:r>
            <w:proofErr w:type="gramEnd"/>
            <w:r>
              <w:rPr>
                <w:rFonts w:ascii="仿宋" w:eastAsia="仿宋" w:hAnsi="仿宋" w:cs="宋体" w:hint="eastAsia"/>
                <w:kern w:val="0"/>
                <w:sz w:val="22"/>
              </w:rPr>
              <w:t>防融合衔接不畅等问题，消除层级建设标准不一、履职效能失衡、考核缺乏统一依据的痛点。通过标准化建设打通</w:t>
            </w:r>
            <w:proofErr w:type="gramStart"/>
            <w:r>
              <w:rPr>
                <w:rFonts w:ascii="仿宋" w:eastAsia="仿宋" w:hAnsi="仿宋" w:cs="宋体" w:hint="eastAsia"/>
                <w:kern w:val="0"/>
                <w:sz w:val="22"/>
              </w:rPr>
              <w:t>医</w:t>
            </w:r>
            <w:proofErr w:type="gramEnd"/>
            <w:r>
              <w:rPr>
                <w:rFonts w:ascii="仿宋" w:eastAsia="仿宋" w:hAnsi="仿宋" w:cs="宋体" w:hint="eastAsia"/>
                <w:kern w:val="0"/>
                <w:sz w:val="22"/>
              </w:rPr>
              <w:t>防协同壁垒，压实医疗机构公共卫生职责，优化</w:t>
            </w:r>
            <w:proofErr w:type="gramStart"/>
            <w:r>
              <w:rPr>
                <w:rFonts w:ascii="仿宋" w:eastAsia="仿宋" w:hAnsi="仿宋" w:cs="宋体" w:hint="eastAsia"/>
                <w:kern w:val="0"/>
                <w:sz w:val="22"/>
              </w:rPr>
              <w:t>基层疾控工作</w:t>
            </w:r>
            <w:proofErr w:type="gramEnd"/>
            <w:r>
              <w:rPr>
                <w:rFonts w:ascii="仿宋" w:eastAsia="仿宋" w:hAnsi="仿宋" w:cs="宋体" w:hint="eastAsia"/>
                <w:kern w:val="0"/>
                <w:sz w:val="22"/>
              </w:rPr>
              <w:t>网络，健全常态化</w:t>
            </w:r>
            <w:proofErr w:type="gramStart"/>
            <w:r>
              <w:rPr>
                <w:rFonts w:ascii="仿宋" w:eastAsia="仿宋" w:hAnsi="仿宋" w:cs="宋体" w:hint="eastAsia"/>
                <w:kern w:val="0"/>
                <w:sz w:val="22"/>
              </w:rPr>
              <w:t>医</w:t>
            </w:r>
            <w:proofErr w:type="gramEnd"/>
            <w:r>
              <w:rPr>
                <w:rFonts w:ascii="仿宋" w:eastAsia="仿宋" w:hAnsi="仿宋" w:cs="宋体" w:hint="eastAsia"/>
                <w:kern w:val="0"/>
                <w:sz w:val="22"/>
              </w:rPr>
              <w:t>防协同工作机制，夯实区域公共卫生安全防护底线。</w:t>
            </w:r>
          </w:p>
        </w:tc>
      </w:tr>
      <w:tr w:rsidR="0068370E" w:rsidTr="00F43C30">
        <w:trPr>
          <w:trHeight w:val="810"/>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10</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免疫规划处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公共卫生</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重庆市二级以上医疗机构预防接种门诊建设规范</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为落实</w:t>
            </w:r>
            <w:proofErr w:type="gramStart"/>
            <w:r>
              <w:rPr>
                <w:rFonts w:ascii="仿宋" w:eastAsia="仿宋" w:hAnsi="仿宋" w:cs="宋体" w:hint="eastAsia"/>
                <w:kern w:val="0"/>
                <w:sz w:val="22"/>
              </w:rPr>
              <w:t>国家疾控局</w:t>
            </w:r>
            <w:proofErr w:type="gramEnd"/>
            <w:r>
              <w:rPr>
                <w:rFonts w:ascii="仿宋" w:eastAsia="仿宋" w:hAnsi="仿宋" w:cs="宋体" w:hint="eastAsia"/>
                <w:kern w:val="0"/>
                <w:sz w:val="22"/>
              </w:rPr>
              <w:t>关于在二级以上医疗机构设置接种门诊要求，目前尚无相关建设标准。</w:t>
            </w:r>
          </w:p>
        </w:tc>
      </w:tr>
      <w:tr w:rsidR="0068370E" w:rsidTr="00F43C30">
        <w:trPr>
          <w:trHeight w:val="4815"/>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lastRenderedPageBreak/>
              <w:t>11</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法规处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卫生综合</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重庆市法治医院建设规范</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一、主要内容</w:t>
            </w:r>
            <w:r>
              <w:rPr>
                <w:rFonts w:ascii="仿宋" w:eastAsia="仿宋" w:hAnsi="仿宋" w:cs="宋体" w:hint="eastAsia"/>
                <w:kern w:val="0"/>
                <w:sz w:val="22"/>
              </w:rPr>
              <w:br/>
              <w:t>本次《规范》编制工作是落实法治重点城市建设国家试点任务、贯彻2026年全国卫生健康法治工作会议精神及国家卫生健康</w:t>
            </w:r>
            <w:proofErr w:type="gramStart"/>
            <w:r>
              <w:rPr>
                <w:rFonts w:ascii="仿宋" w:eastAsia="仿宋" w:hAnsi="仿宋" w:cs="宋体" w:hint="eastAsia"/>
                <w:kern w:val="0"/>
                <w:sz w:val="22"/>
              </w:rPr>
              <w:t>委相关</w:t>
            </w:r>
            <w:proofErr w:type="gramEnd"/>
            <w:r>
              <w:rPr>
                <w:rFonts w:ascii="仿宋" w:eastAsia="仿宋" w:hAnsi="仿宋" w:cs="宋体" w:hint="eastAsia"/>
                <w:kern w:val="0"/>
                <w:sz w:val="22"/>
              </w:rPr>
              <w:t>工作安排的重要举措，是全面推进我市法治医院建设的迫切需要。拟以课题的形式，成立《规范》编写工作组，由高校牵头，律师事务所、13家市级医院和12家区县级医院共同参与，法规处负责统筹和总协调。《规范》按照党的领导、医疗管理、行政管理三大板块，（制度建设、组织建设、保障措施、法治机制、法治文化）（急诊急救、门诊、住院、护理、检验检查、手术、采血用血、临床用药、会诊转诊、医疗文书、患者权益保护、互联网+医疗健康、信息安全、医疗纠纷、医疗伦理审查）（合同管理、资质管理、招标采购、后勤管理、人事管理、科研管理、对外合作、医疗监管）细分二级板块，再对每一个二级板块从业务的角度按环节或流程细分到每个环节、每个岗位、每类人员进行拆分，再根据现行有效法律、法规、规章及规范性文件，梳理出对每一类人员和行为义务性要求（法律规定必须做到的）和禁止性要求（一定不能做的）以及违反强制性要求的法律后果。</w:t>
            </w:r>
            <w:r>
              <w:rPr>
                <w:rFonts w:ascii="仿宋" w:eastAsia="仿宋" w:hAnsi="仿宋" w:cs="宋体" w:hint="eastAsia"/>
                <w:kern w:val="0"/>
                <w:sz w:val="22"/>
              </w:rPr>
              <w:br/>
              <w:t>二、解决问题</w:t>
            </w:r>
            <w:r>
              <w:rPr>
                <w:rFonts w:ascii="仿宋" w:eastAsia="仿宋" w:hAnsi="仿宋" w:cs="宋体" w:hint="eastAsia"/>
                <w:kern w:val="0"/>
                <w:sz w:val="22"/>
              </w:rPr>
              <w:br/>
              <w:t>编制可操作、可落地、可评价的《法治医院建设规范》，全面覆盖医疗机构法治建设全领域、全流程、全要素，力争形成可复制、可推广的医疗机构法治建设标准规范，推动我市各级医院法治建设规范化、标准化、制度化，提升医疗服务质量和依法治理水平，提升医务人员法治意识和依法执业能力，助力法治重点城市建设国家试点任务落地见效。</w:t>
            </w:r>
          </w:p>
        </w:tc>
      </w:tr>
      <w:tr w:rsidR="0068370E" w:rsidTr="00F43C30">
        <w:trPr>
          <w:trHeight w:val="3240"/>
        </w:trPr>
        <w:tc>
          <w:tcPr>
            <w:tcW w:w="620" w:type="dxa"/>
            <w:tcBorders>
              <w:top w:val="nil"/>
              <w:left w:val="single" w:sz="4" w:space="0" w:color="auto"/>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12</w:t>
            </w:r>
          </w:p>
        </w:tc>
        <w:tc>
          <w:tcPr>
            <w:tcW w:w="90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法规处</w:t>
            </w:r>
          </w:p>
        </w:tc>
        <w:tc>
          <w:tcPr>
            <w:tcW w:w="709"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卫生综合</w:t>
            </w:r>
          </w:p>
        </w:tc>
        <w:tc>
          <w:tcPr>
            <w:tcW w:w="2126" w:type="dxa"/>
            <w:tcBorders>
              <w:top w:val="nil"/>
              <w:left w:val="nil"/>
              <w:bottom w:val="single" w:sz="4" w:space="0" w:color="auto"/>
              <w:right w:val="single" w:sz="4" w:space="0" w:color="auto"/>
            </w:tcBorders>
            <w:shd w:val="clear" w:color="auto" w:fill="auto"/>
            <w:vAlign w:val="center"/>
          </w:tcPr>
          <w:p w:rsidR="0068370E" w:rsidRDefault="0068370E" w:rsidP="00F43C30">
            <w:pPr>
              <w:widowControl/>
              <w:jc w:val="center"/>
              <w:rPr>
                <w:rFonts w:ascii="仿宋" w:eastAsia="仿宋" w:hAnsi="仿宋" w:cs="宋体"/>
                <w:kern w:val="0"/>
                <w:sz w:val="22"/>
              </w:rPr>
            </w:pPr>
            <w:r>
              <w:rPr>
                <w:rFonts w:ascii="仿宋" w:eastAsia="仿宋" w:hAnsi="仿宋" w:cs="宋体" w:hint="eastAsia"/>
                <w:kern w:val="0"/>
                <w:sz w:val="22"/>
              </w:rPr>
              <w:t>卫生健康法治重点城市建设指南</w:t>
            </w:r>
          </w:p>
        </w:tc>
        <w:tc>
          <w:tcPr>
            <w:tcW w:w="10199" w:type="dxa"/>
            <w:tcBorders>
              <w:top w:val="nil"/>
              <w:left w:val="nil"/>
              <w:bottom w:val="single" w:sz="4" w:space="0" w:color="auto"/>
              <w:right w:val="single" w:sz="4" w:space="0" w:color="auto"/>
            </w:tcBorders>
            <w:shd w:val="clear" w:color="auto" w:fill="auto"/>
          </w:tcPr>
          <w:p w:rsidR="0068370E" w:rsidRDefault="0068370E" w:rsidP="00F43C30">
            <w:pPr>
              <w:widowControl/>
              <w:jc w:val="left"/>
              <w:rPr>
                <w:rFonts w:ascii="仿宋" w:eastAsia="仿宋" w:hAnsi="仿宋" w:cs="宋体"/>
                <w:kern w:val="0"/>
                <w:sz w:val="22"/>
              </w:rPr>
            </w:pPr>
            <w:r>
              <w:rPr>
                <w:rFonts w:ascii="仿宋" w:eastAsia="仿宋" w:hAnsi="仿宋" w:cs="宋体" w:hint="eastAsia"/>
                <w:kern w:val="0"/>
                <w:sz w:val="22"/>
              </w:rPr>
              <w:t>主要内容：1.加强卫生健康地方立法，探索建立卫生健康基层立法联系点；2.建立健全标准化工作制度机制，推动卫生健康标准化工作；3.大力开展精准普法；4.严格落实法制审核制度，提升法治审核质效；5.推动行政审批规范高效开展，推进“高效办成一件事”，法治惠民优服务；6.高效办理复议应诉，司法联动防范风险。7.创新探索卫生健康法治建设其他工作。</w:t>
            </w:r>
            <w:r>
              <w:rPr>
                <w:rFonts w:ascii="仿宋" w:eastAsia="仿宋" w:hAnsi="仿宋" w:cs="宋体" w:hint="eastAsia"/>
                <w:kern w:val="0"/>
                <w:sz w:val="22"/>
              </w:rPr>
              <w:br/>
              <w:t>拟解决的问题：1.制度支撑体系短板。加快立法全生命周期管理，出台标准研制规划，推进规范性文件“立改废释”。2.基层法治能力建设不均衡。加强法治力量配置，强化基层及医疗机构法治审核力量；拓展行政与司法互动深度和广度，提升行政争议前端化解能力。3.法治医院建设还需提升。有效发挥公立医院法</w:t>
            </w:r>
            <w:proofErr w:type="gramStart"/>
            <w:r>
              <w:rPr>
                <w:rFonts w:ascii="仿宋" w:eastAsia="仿宋" w:hAnsi="仿宋" w:cs="宋体" w:hint="eastAsia"/>
                <w:kern w:val="0"/>
                <w:sz w:val="22"/>
              </w:rPr>
              <w:t>务</w:t>
            </w:r>
            <w:proofErr w:type="gramEnd"/>
            <w:r>
              <w:rPr>
                <w:rFonts w:ascii="仿宋" w:eastAsia="仿宋" w:hAnsi="仿宋" w:cs="宋体" w:hint="eastAsia"/>
                <w:kern w:val="0"/>
                <w:sz w:val="22"/>
              </w:rPr>
              <w:t>部门职能，加强内部法</w:t>
            </w:r>
            <w:proofErr w:type="gramStart"/>
            <w:r>
              <w:rPr>
                <w:rFonts w:ascii="仿宋" w:eastAsia="仿宋" w:hAnsi="仿宋" w:cs="宋体" w:hint="eastAsia"/>
                <w:kern w:val="0"/>
                <w:sz w:val="22"/>
              </w:rPr>
              <w:t>务</w:t>
            </w:r>
            <w:proofErr w:type="gramEnd"/>
            <w:r>
              <w:rPr>
                <w:rFonts w:ascii="仿宋" w:eastAsia="仿宋" w:hAnsi="仿宋" w:cs="宋体" w:hint="eastAsia"/>
                <w:kern w:val="0"/>
                <w:sz w:val="22"/>
              </w:rPr>
              <w:t>和</w:t>
            </w:r>
            <w:proofErr w:type="gramStart"/>
            <w:r>
              <w:rPr>
                <w:rFonts w:ascii="仿宋" w:eastAsia="仿宋" w:hAnsi="仿宋" w:cs="宋体" w:hint="eastAsia"/>
                <w:kern w:val="0"/>
                <w:sz w:val="22"/>
              </w:rPr>
              <w:t>医法</w:t>
            </w:r>
            <w:proofErr w:type="gramEnd"/>
            <w:r>
              <w:rPr>
                <w:rFonts w:ascii="仿宋" w:eastAsia="仿宋" w:hAnsi="仿宋" w:cs="宋体" w:hint="eastAsia"/>
                <w:kern w:val="0"/>
                <w:sz w:val="22"/>
              </w:rPr>
              <w:t>复合型人才储备，健全</w:t>
            </w:r>
            <w:proofErr w:type="gramStart"/>
            <w:r>
              <w:rPr>
                <w:rFonts w:ascii="仿宋" w:eastAsia="仿宋" w:hAnsi="仿宋" w:cs="宋体" w:hint="eastAsia"/>
                <w:kern w:val="0"/>
                <w:sz w:val="22"/>
              </w:rPr>
              <w:t>医</w:t>
            </w:r>
            <w:proofErr w:type="gramEnd"/>
            <w:r>
              <w:rPr>
                <w:rFonts w:ascii="仿宋" w:eastAsia="仿宋" w:hAnsi="仿宋" w:cs="宋体" w:hint="eastAsia"/>
                <w:kern w:val="0"/>
                <w:sz w:val="22"/>
              </w:rPr>
              <w:t>法复合型人才培养机制，建设法治医院数字管理系统应用场景，促进依法决策、管理的全流程闭环管理。4.法治赋能民生服务有差距。推动“高效办成一件事”，加强精准普法针对性和实效性。</w:t>
            </w:r>
          </w:p>
        </w:tc>
      </w:tr>
    </w:tbl>
    <w:p w:rsidR="0068370E" w:rsidRDefault="0068370E" w:rsidP="0068370E">
      <w:pPr>
        <w:sectPr w:rsidR="0068370E">
          <w:pgSz w:w="16838" w:h="11906" w:orient="landscape"/>
          <w:pgMar w:top="1797" w:right="1440" w:bottom="1797" w:left="1440" w:header="851" w:footer="992" w:gutter="0"/>
          <w:cols w:space="425"/>
          <w:docGrid w:type="lines" w:linePitch="312"/>
        </w:sectPr>
      </w:pPr>
    </w:p>
    <w:p w:rsidR="00910B65" w:rsidRPr="0068370E" w:rsidRDefault="00910B65"/>
    <w:sectPr w:rsidR="00910B65" w:rsidRPr="006837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224" w:rsidRDefault="00976224" w:rsidP="0068370E">
      <w:r>
        <w:separator/>
      </w:r>
    </w:p>
  </w:endnote>
  <w:endnote w:type="continuationSeparator" w:id="0">
    <w:p w:rsidR="00976224" w:rsidRDefault="00976224" w:rsidP="0068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224" w:rsidRDefault="00976224" w:rsidP="0068370E">
      <w:r>
        <w:separator/>
      </w:r>
    </w:p>
  </w:footnote>
  <w:footnote w:type="continuationSeparator" w:id="0">
    <w:p w:rsidR="00976224" w:rsidRDefault="00976224" w:rsidP="00683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56"/>
    <w:rsid w:val="0068370E"/>
    <w:rsid w:val="008E5D56"/>
    <w:rsid w:val="00910B65"/>
    <w:rsid w:val="0097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3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370E"/>
    <w:rPr>
      <w:sz w:val="18"/>
      <w:szCs w:val="18"/>
    </w:rPr>
  </w:style>
  <w:style w:type="paragraph" w:styleId="a4">
    <w:name w:val="footer"/>
    <w:basedOn w:val="a"/>
    <w:link w:val="Char0"/>
    <w:uiPriority w:val="99"/>
    <w:unhideWhenUsed/>
    <w:rsid w:val="0068370E"/>
    <w:pPr>
      <w:tabs>
        <w:tab w:val="center" w:pos="4153"/>
        <w:tab w:val="right" w:pos="8306"/>
      </w:tabs>
      <w:snapToGrid w:val="0"/>
      <w:jc w:val="left"/>
    </w:pPr>
    <w:rPr>
      <w:sz w:val="18"/>
      <w:szCs w:val="18"/>
    </w:rPr>
  </w:style>
  <w:style w:type="character" w:customStyle="1" w:styleId="Char0">
    <w:name w:val="页脚 Char"/>
    <w:basedOn w:val="a0"/>
    <w:link w:val="a4"/>
    <w:uiPriority w:val="99"/>
    <w:rsid w:val="006837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3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370E"/>
    <w:rPr>
      <w:sz w:val="18"/>
      <w:szCs w:val="18"/>
    </w:rPr>
  </w:style>
  <w:style w:type="paragraph" w:styleId="a4">
    <w:name w:val="footer"/>
    <w:basedOn w:val="a"/>
    <w:link w:val="Char0"/>
    <w:uiPriority w:val="99"/>
    <w:unhideWhenUsed/>
    <w:rsid w:val="0068370E"/>
    <w:pPr>
      <w:tabs>
        <w:tab w:val="center" w:pos="4153"/>
        <w:tab w:val="right" w:pos="8306"/>
      </w:tabs>
      <w:snapToGrid w:val="0"/>
      <w:jc w:val="left"/>
    </w:pPr>
    <w:rPr>
      <w:sz w:val="18"/>
      <w:szCs w:val="18"/>
    </w:rPr>
  </w:style>
  <w:style w:type="character" w:customStyle="1" w:styleId="Char0">
    <w:name w:val="页脚 Char"/>
    <w:basedOn w:val="a0"/>
    <w:link w:val="a4"/>
    <w:uiPriority w:val="99"/>
    <w:rsid w:val="006837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邹欣汝</dc:creator>
  <cp:keywords/>
  <dc:description/>
  <cp:lastModifiedBy>邹欣汝</cp:lastModifiedBy>
  <cp:revision>2</cp:revision>
  <dcterms:created xsi:type="dcterms:W3CDTF">2026-06-08T08:58:00Z</dcterms:created>
  <dcterms:modified xsi:type="dcterms:W3CDTF">2026-06-08T08:59:00Z</dcterms:modified>
</cp:coreProperties>
</file>